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tabs>
          <w:tab w:val="right" w:pos="9639"/>
        </w:tabs>
        <w:kinsoku/>
        <w:wordWrap/>
        <w:overflowPunct w:val="0"/>
        <w:topLinePunct w:val="0"/>
        <w:autoSpaceDE w:val="0"/>
        <w:autoSpaceDN w:val="0"/>
        <w:bidi w:val="0"/>
        <w:adjustRightInd w:val="0"/>
        <w:spacing w:after="160" w:line="240" w:lineRule="auto"/>
        <w:jc w:val="both"/>
        <w:textAlignment w:val="baseline"/>
        <w:rPr>
          <w:rFonts w:hint="default" w:ascii="Arial" w:hAnsi="Arial" w:eastAsia="宋体" w:cs="Times New Roman"/>
          <w:b/>
          <w:bCs/>
          <w:i/>
          <w:sz w:val="24"/>
          <w:szCs w:val="24"/>
          <w:lang w:val="en-US" w:eastAsia="zh-CN" w:bidi="ar-SA"/>
        </w:rPr>
      </w:pPr>
      <w:r>
        <w:rPr>
          <w:rFonts w:ascii="Arial" w:hAnsi="Arial" w:eastAsia="宋体" w:cs="Times New Roman"/>
          <w:b/>
          <w:bCs/>
          <w:sz w:val="24"/>
          <w:szCs w:val="24"/>
          <w:lang w:val="en-GB" w:eastAsia="ja-JP" w:bidi="ar-SA"/>
        </w:rPr>
        <w:t>3GPP TSG-RAN WG2 Meeting #121</w:t>
      </w:r>
      <w:r>
        <w:rPr>
          <w:rFonts w:ascii="Arial" w:hAnsi="Arial" w:eastAsia="宋体" w:cs="Times New Roman"/>
          <w:b/>
          <w:bCs/>
          <w:sz w:val="24"/>
          <w:szCs w:val="24"/>
          <w:lang w:val="en-GB" w:eastAsia="ja-JP" w:bidi="ar-SA"/>
        </w:rPr>
        <w:tab/>
      </w:r>
      <w:r>
        <w:rPr>
          <w:rFonts w:ascii="Arial" w:hAnsi="Arial" w:eastAsia="宋体" w:cs="Times New Roman"/>
          <w:b/>
          <w:bCs/>
          <w:sz w:val="24"/>
          <w:szCs w:val="24"/>
          <w:lang w:val="en-GB" w:eastAsia="ja-JP" w:bidi="ar-SA"/>
        </w:rPr>
        <w:t>R2-23</w:t>
      </w:r>
      <w:r>
        <w:rPr>
          <w:rFonts w:hint="eastAsia" w:ascii="Arial" w:hAnsi="Arial" w:eastAsia="宋体" w:cs="Times New Roman"/>
          <w:b/>
          <w:bCs/>
          <w:sz w:val="24"/>
          <w:szCs w:val="24"/>
          <w:lang w:val="en-US" w:eastAsia="zh-CN" w:bidi="ar-SA"/>
        </w:rPr>
        <w:t>01220</w:t>
      </w:r>
    </w:p>
    <w:p>
      <w:pPr>
        <w:keepNext w:val="0"/>
        <w:keepLines w:val="0"/>
        <w:pageBreakBefore w:val="0"/>
        <w:widowControl w:val="0"/>
        <w:kinsoku/>
        <w:wordWrap/>
        <w:overflowPunct w:val="0"/>
        <w:topLinePunct w:val="0"/>
        <w:autoSpaceDE w:val="0"/>
        <w:autoSpaceDN w:val="0"/>
        <w:bidi w:val="0"/>
        <w:adjustRightInd w:val="0"/>
        <w:snapToGrid w:val="0"/>
        <w:spacing w:line="240" w:lineRule="auto"/>
        <w:jc w:val="left"/>
        <w:textAlignment w:val="baseline"/>
        <w:rPr>
          <w:rFonts w:ascii="Arial" w:hAnsi="Arial" w:eastAsia="宋体" w:cs="Times New Roman"/>
          <w:b/>
          <w:bCs/>
          <w:sz w:val="24"/>
          <w:szCs w:val="24"/>
          <w:lang w:val="en-GB" w:eastAsia="zh-CN" w:bidi="ar-SA"/>
        </w:rPr>
      </w:pPr>
      <w:r>
        <w:rPr>
          <w:rFonts w:ascii="Arial" w:hAnsi="Arial" w:eastAsia="宋体" w:cs="Times New Roman"/>
          <w:b/>
          <w:bCs/>
          <w:sz w:val="24"/>
          <w:szCs w:val="24"/>
          <w:lang w:val="en-GB" w:eastAsia="zh-CN" w:bidi="ar-SA"/>
        </w:rPr>
        <w:t>Athens, Greece, 27</w:t>
      </w:r>
      <w:r>
        <w:rPr>
          <w:rFonts w:ascii="Arial" w:hAnsi="Arial" w:eastAsia="宋体" w:cs="Times New Roman"/>
          <w:b/>
          <w:bCs/>
          <w:sz w:val="24"/>
          <w:szCs w:val="24"/>
          <w:vertAlign w:val="superscript"/>
          <w:lang w:val="en-GB" w:eastAsia="zh-CN" w:bidi="ar-SA"/>
        </w:rPr>
        <w:t>th</w:t>
      </w:r>
      <w:r>
        <w:rPr>
          <w:rFonts w:ascii="Arial" w:hAnsi="Arial" w:eastAsia="宋体" w:cs="Times New Roman"/>
          <w:b/>
          <w:bCs/>
          <w:sz w:val="24"/>
          <w:szCs w:val="24"/>
          <w:lang w:val="en-GB" w:eastAsia="zh-CN" w:bidi="ar-SA"/>
        </w:rPr>
        <w:t xml:space="preserve"> of Feb – 3</w:t>
      </w:r>
      <w:r>
        <w:rPr>
          <w:rFonts w:ascii="Arial" w:hAnsi="Arial" w:eastAsia="宋体" w:cs="Times New Roman"/>
          <w:b/>
          <w:bCs/>
          <w:sz w:val="24"/>
          <w:szCs w:val="24"/>
          <w:vertAlign w:val="superscript"/>
          <w:lang w:val="en-GB" w:eastAsia="zh-CN" w:bidi="ar-SA"/>
        </w:rPr>
        <w:t>rd</w:t>
      </w:r>
      <w:r>
        <w:rPr>
          <w:rFonts w:ascii="Arial" w:hAnsi="Arial" w:eastAsia="宋体" w:cs="Times New Roman"/>
          <w:b/>
          <w:bCs/>
          <w:sz w:val="24"/>
          <w:szCs w:val="24"/>
          <w:lang w:val="en-GB" w:eastAsia="zh-CN" w:bidi="ar-SA"/>
        </w:rPr>
        <w:t xml:space="preserve"> of Mar 2023</w:t>
      </w:r>
    </w:p>
    <w:p>
      <w:pPr>
        <w:keepNext w:val="0"/>
        <w:keepLines w:val="0"/>
        <w:pageBreakBefore w:val="0"/>
        <w:widowControl w:val="0"/>
        <w:kinsoku/>
        <w:wordWrap/>
        <w:overflowPunct w:val="0"/>
        <w:topLinePunct w:val="0"/>
        <w:autoSpaceDE w:val="0"/>
        <w:autoSpaceDN w:val="0"/>
        <w:bidi w:val="0"/>
        <w:adjustRightInd w:val="0"/>
        <w:snapToGrid w:val="0"/>
        <w:spacing w:line="240" w:lineRule="auto"/>
        <w:jc w:val="left"/>
        <w:textAlignment w:val="baseline"/>
        <w:rPr>
          <w:rFonts w:ascii="Arial" w:hAnsi="Arial" w:eastAsia="宋体" w:cs="Times New Roman"/>
          <w:b/>
          <w:bCs/>
          <w:sz w:val="24"/>
          <w:szCs w:val="24"/>
          <w:lang w:val="en-GB" w:eastAsia="zh-CN" w:bidi="ar-SA"/>
        </w:rPr>
      </w:pPr>
    </w:p>
    <w:p>
      <w:pPr>
        <w:keepNext w:val="0"/>
        <w:keepLines w:val="0"/>
        <w:pageBreakBefore w:val="0"/>
        <w:widowControl w:val="0"/>
        <w:kinsoku/>
        <w:wordWrap/>
        <w:overflowPunct w:val="0"/>
        <w:topLinePunct w:val="0"/>
        <w:autoSpaceDE w:val="0"/>
        <w:autoSpaceDN w:val="0"/>
        <w:bidi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keepNext w:val="0"/>
        <w:keepLines w:val="0"/>
        <w:pageBreakBefore w:val="0"/>
        <w:widowControl w:val="0"/>
        <w:kinsoku/>
        <w:wordWrap/>
        <w:overflowPunct w:val="0"/>
        <w:topLinePunct w:val="0"/>
        <w:autoSpaceDE w:val="0"/>
        <w:autoSpaceDN w:val="0"/>
        <w:bidi w:val="0"/>
        <w:adjustRightInd w:val="0"/>
        <w:snapToGrid w:val="0"/>
        <w:spacing w:line="240" w:lineRule="auto"/>
        <w:ind w:left="2100" w:hanging="210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lang w:val="en-US" w:eastAsia="zh-CN"/>
        </w:rPr>
        <w:t>On UAV mobility and interference control</w:t>
      </w:r>
    </w:p>
    <w:p>
      <w:pPr>
        <w:keepNext w:val="0"/>
        <w:keepLines w:val="0"/>
        <w:pageBreakBefore w:val="0"/>
        <w:widowControl w:val="0"/>
        <w:kinsoku/>
        <w:wordWrap/>
        <w:overflowPunct w:val="0"/>
        <w:topLinePunct w:val="0"/>
        <w:autoSpaceDE w:val="0"/>
        <w:autoSpaceDN w:val="0"/>
        <w:bidi w:val="0"/>
        <w:adjustRightInd w:val="0"/>
        <w:snapToGrid w:val="0"/>
        <w:spacing w:line="240" w:lineRule="auto"/>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lang w:val="en-US" w:eastAsia="zh-CN"/>
        </w:rPr>
        <w:t>8.8.2</w:t>
      </w:r>
    </w:p>
    <w:p>
      <w:pPr>
        <w:keepNext w:val="0"/>
        <w:keepLines w:val="0"/>
        <w:pageBreakBefore w:val="0"/>
        <w:widowControl w:val="0"/>
        <w:kinsoku/>
        <w:wordWrap/>
        <w:overflowPunct w:val="0"/>
        <w:topLinePunct w:val="0"/>
        <w:autoSpaceDE w:val="0"/>
        <w:autoSpaceDN w:val="0"/>
        <w:bidi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Discussion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cs="Times New Roman"/>
          <w:b w:val="0"/>
          <w:bCs w:val="0"/>
          <w:sz w:val="21"/>
          <w:szCs w:val="21"/>
          <w:lang w:val="en-US" w:eastAsia="zh-CN"/>
        </w:rPr>
      </w:pPr>
      <w:bookmarkStart w:id="2" w:name="OLE_LINK1"/>
      <w:r>
        <w:rPr>
          <w:rFonts w:hint="eastAsia" w:cs="Times New Roman"/>
          <w:b w:val="0"/>
          <w:bCs w:val="0"/>
          <w:sz w:val="21"/>
          <w:szCs w:val="21"/>
          <w:lang w:val="en-US" w:eastAsia="zh-CN"/>
        </w:rPr>
        <w:t>In the post-meeting email discussion [Post120][312][UAV] and [Post120][313][UAV], we discussed some open issues on mobility control and interference detection for UAV. The email discussion summaries were provided in [1] and [2]. In this contribution, we discussed some remaining issues on UAV mobility and interference control.</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lang w:val="en-US" w:eastAsia="zh-CN"/>
        </w:rPr>
        <w:t>Discussion</w:t>
      </w:r>
    </w:p>
    <w:bookmarkEnd w:id="2"/>
    <w:p>
      <w:pPr>
        <w:pStyle w:val="3"/>
        <w:numPr>
          <w:ilvl w:val="1"/>
          <w:numId w:val="0"/>
        </w:numPr>
        <w:bidi w:val="0"/>
        <w:ind w:leftChars="0"/>
        <w:rPr>
          <w:rFonts w:hint="default"/>
          <w:lang w:val="en-US" w:eastAsia="zh-CN"/>
        </w:rPr>
      </w:pPr>
      <w:r>
        <w:rPr>
          <w:rFonts w:hint="eastAsia"/>
          <w:lang w:val="en-US" w:eastAsia="zh-CN"/>
        </w:rPr>
        <w:t>2.1 Mobility control</w:t>
      </w:r>
    </w:p>
    <w:p>
      <w:pPr>
        <w:widowControl w:val="0"/>
        <w:numPr>
          <w:ilvl w:val="0"/>
          <w:numId w:val="0"/>
        </w:numPr>
        <w:jc w:val="both"/>
        <w:rPr>
          <w:rFonts w:hint="eastAsia" w:cs="Times New Roman"/>
          <w:b/>
          <w:bCs/>
          <w:i/>
          <w:iCs/>
          <w:sz w:val="21"/>
          <w:szCs w:val="21"/>
          <w:u w:val="single"/>
          <w:lang w:val="en-US" w:eastAsia="zh-CN"/>
        </w:rPr>
      </w:pPr>
      <w:r>
        <w:rPr>
          <w:rFonts w:hint="eastAsia" w:cs="Times New Roman"/>
          <w:b/>
          <w:bCs/>
          <w:i/>
          <w:iCs/>
          <w:sz w:val="21"/>
          <w:szCs w:val="21"/>
          <w:u w:val="single"/>
          <w:lang w:val="en-US" w:eastAsia="zh-CN"/>
        </w:rPr>
        <w:t>Issue 1: the content of the measurement report triggered by event H1 or H2</w:t>
      </w:r>
    </w:p>
    <w:p>
      <w:pPr>
        <w:widowControl w:val="0"/>
        <w:numPr>
          <w:ilvl w:val="0"/>
          <w:numId w:val="0"/>
        </w:numPr>
        <w:jc w:val="both"/>
        <w:rPr>
          <w:rFonts w:hint="default" w:cs="Times New Roman"/>
          <w:b w:val="0"/>
          <w:bCs w:val="0"/>
          <w:i w:val="0"/>
          <w:iCs w:val="0"/>
          <w:sz w:val="21"/>
          <w:szCs w:val="21"/>
          <w:u w:val="none"/>
          <w:lang w:val="en-US" w:eastAsia="zh-CN"/>
        </w:rPr>
      </w:pPr>
      <w:r>
        <w:rPr>
          <w:rFonts w:hint="eastAsia" w:cs="Times New Roman"/>
          <w:b w:val="0"/>
          <w:bCs w:val="0"/>
          <w:i w:val="0"/>
          <w:iCs w:val="0"/>
          <w:sz w:val="21"/>
          <w:szCs w:val="21"/>
          <w:u w:val="none"/>
          <w:lang w:val="en-US" w:eastAsia="zh-CN"/>
        </w:rPr>
        <w:t>Regarding the content of the measurement report triggered by event H1 or H2, the following proposal was made:</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widowControl w:val="0"/>
              <w:numPr>
                <w:ilvl w:val="0"/>
                <w:numId w:val="0"/>
              </w:numPr>
              <w:jc w:val="both"/>
              <w:rPr>
                <w:rFonts w:hint="default" w:cs="Times New Roman"/>
                <w:b/>
                <w:bCs/>
                <w:sz w:val="21"/>
                <w:szCs w:val="21"/>
                <w:vertAlign w:val="baseline"/>
                <w:lang w:val="en-US" w:eastAsia="zh-CN"/>
              </w:rPr>
            </w:pPr>
            <w:r>
              <w:rPr>
                <w:rFonts w:hint="default" w:cs="Times New Roman"/>
                <w:b/>
                <w:bCs/>
                <w:sz w:val="21"/>
                <w:szCs w:val="21"/>
                <w:vertAlign w:val="baseline"/>
                <w:lang w:val="en-US" w:eastAsia="zh-CN"/>
              </w:rPr>
              <w:t xml:space="preserve">Proposal 1: When event H1 or H2 triggers, the content of the measurement report is configurable by the network (i.e. it can contain UAV UEs height, location information and RSRP/RSRQ measurement results). FFS whether UAV UE’s height is mandatorily reported and which parameter/IE is used for height reporting. FFS which parameters from CommonLocationInfo are needed for UAV UEs.  </w:t>
            </w:r>
          </w:p>
        </w:tc>
      </w:tr>
    </w:tbl>
    <w:p>
      <w:pPr>
        <w:widowControl w:val="0"/>
        <w:numPr>
          <w:ilvl w:val="0"/>
          <w:numId w:val="0"/>
        </w:numPr>
        <w:jc w:val="both"/>
        <w:rPr>
          <w:rFonts w:hint="eastAsia" w:cs="Times New Roman"/>
          <w:b w:val="0"/>
          <w:bCs w:val="0"/>
          <w:sz w:val="21"/>
          <w:szCs w:val="21"/>
          <w:lang w:val="en-US" w:eastAsia="zh-CN"/>
        </w:rPr>
      </w:pPr>
      <w:r>
        <w:rPr>
          <w:rFonts w:hint="eastAsia" w:cs="Times New Roman"/>
          <w:b w:val="0"/>
          <w:bCs w:val="0"/>
          <w:sz w:val="21"/>
          <w:szCs w:val="21"/>
          <w:lang w:val="en-US" w:eastAsia="zh-CN"/>
        </w:rPr>
        <w:t xml:space="preserve">In LTE UAV, a separate IE (i.e. </w:t>
      </w:r>
      <w:r>
        <w:rPr>
          <w:rFonts w:hint="eastAsia" w:cs="Times New Roman"/>
          <w:b w:val="0"/>
          <w:bCs w:val="0"/>
          <w:i/>
          <w:iCs/>
          <w:sz w:val="21"/>
          <w:szCs w:val="21"/>
          <w:lang w:val="en-US" w:eastAsia="zh-CN"/>
        </w:rPr>
        <w:t>heightUE</w:t>
      </w:r>
      <w:r>
        <w:rPr>
          <w:rFonts w:hint="eastAsia" w:cs="Times New Roman"/>
          <w:b w:val="0"/>
          <w:bCs w:val="0"/>
          <w:sz w:val="21"/>
          <w:szCs w:val="21"/>
          <w:lang w:val="en-US" w:eastAsia="zh-CN"/>
        </w:rPr>
        <w:t>) was introduced to set the UE</w:t>
      </w:r>
      <w:r>
        <w:rPr>
          <w:rFonts w:hint="default" w:cs="Times New Roman"/>
          <w:b w:val="0"/>
          <w:bCs w:val="0"/>
          <w:sz w:val="21"/>
          <w:szCs w:val="21"/>
          <w:lang w:val="en-US" w:eastAsia="zh-CN"/>
        </w:rPr>
        <w:t>’</w:t>
      </w:r>
      <w:r>
        <w:rPr>
          <w:rFonts w:hint="eastAsia" w:cs="Times New Roman"/>
          <w:b w:val="0"/>
          <w:bCs w:val="0"/>
          <w:sz w:val="21"/>
          <w:szCs w:val="21"/>
          <w:lang w:val="en-US" w:eastAsia="zh-CN"/>
        </w:rPr>
        <w:t>s height in the measurement report triggered by event H1 or H2. And the UAV UE</w:t>
      </w:r>
      <w:r>
        <w:rPr>
          <w:rFonts w:hint="default" w:cs="Times New Roman"/>
          <w:b w:val="0"/>
          <w:bCs w:val="0"/>
          <w:sz w:val="21"/>
          <w:szCs w:val="21"/>
          <w:lang w:val="en-US" w:eastAsia="zh-CN"/>
        </w:rPr>
        <w:t>’</w:t>
      </w:r>
      <w:r>
        <w:rPr>
          <w:rFonts w:hint="eastAsia" w:cs="Times New Roman"/>
          <w:b w:val="0"/>
          <w:bCs w:val="0"/>
          <w:sz w:val="21"/>
          <w:szCs w:val="21"/>
          <w:lang w:val="en-US" w:eastAsia="zh-CN"/>
        </w:rPr>
        <w:t>s height is mandatorily included in content of the measurement report if event H1 or H2 triggers. The corresponding normative text in TS 36.331 can be found as below:</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97" w:type="dxa"/>
          </w:tcPr>
          <w:p>
            <w:pPr>
              <w:bidi w:val="0"/>
              <w:rPr>
                <w:b/>
                <w:bCs/>
                <w:lang w:val="en-GB" w:eastAsia="ja-JP"/>
              </w:rPr>
            </w:pPr>
            <w:bookmarkStart w:id="3" w:name="_Toc46483149"/>
            <w:bookmarkStart w:id="4" w:name="_Toc124515023"/>
            <w:bookmarkStart w:id="5" w:name="_Toc46481915"/>
            <w:bookmarkStart w:id="6" w:name="_Toc37082054"/>
            <w:bookmarkStart w:id="7" w:name="_Toc36939074"/>
            <w:bookmarkStart w:id="8" w:name="_Toc46480681"/>
            <w:bookmarkStart w:id="9" w:name="_Toc36810057"/>
            <w:bookmarkStart w:id="10" w:name="_Toc36846421"/>
            <w:r>
              <w:rPr>
                <w:rFonts w:hint="eastAsia" w:cs="Times New Roman"/>
                <w:b/>
                <w:bCs/>
                <w:color w:val="0070C0"/>
                <w:sz w:val="21"/>
                <w:szCs w:val="21"/>
                <w:lang w:val="en-US" w:eastAsia="zh-CN"/>
              </w:rPr>
              <w:t>From TS 36.331</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ja-JP" w:bidi="ar-SA"/>
              </w:rPr>
            </w:pPr>
            <w:r>
              <w:rPr>
                <w:rFonts w:ascii="Arial" w:hAnsi="Arial" w:eastAsia="Times New Roman" w:cs="Times New Roman"/>
                <w:sz w:val="28"/>
                <w:lang w:val="en-GB" w:eastAsia="ja-JP" w:bidi="ar-SA"/>
              </w:rPr>
              <w:t>5.5.5</w:t>
            </w:r>
            <w:r>
              <w:rPr>
                <w:rFonts w:ascii="Arial" w:hAnsi="Arial" w:eastAsia="Times New Roman" w:cs="Times New Roman"/>
                <w:sz w:val="28"/>
                <w:lang w:val="en-GB" w:eastAsia="ja-JP" w:bidi="ar-SA"/>
              </w:rPr>
              <w:tab/>
            </w:r>
            <w:r>
              <w:rPr>
                <w:rFonts w:ascii="Arial" w:hAnsi="Arial" w:eastAsia="Times New Roman" w:cs="Times New Roman"/>
                <w:sz w:val="28"/>
                <w:lang w:val="en-GB" w:eastAsia="ja-JP" w:bidi="ar-SA"/>
              </w:rPr>
              <w:t>Measurement reporting</w:t>
            </w:r>
            <w:bookmarkEnd w:id="3"/>
            <w:bookmarkEnd w:id="4"/>
            <w:bookmarkEnd w:id="5"/>
            <w:bookmarkEnd w:id="6"/>
            <w:bookmarkEnd w:id="7"/>
            <w:bookmarkEnd w:id="8"/>
            <w:bookmarkEnd w:id="9"/>
            <w:bookmarkEnd w:id="10"/>
          </w:p>
          <w:p>
            <w:pPr>
              <w:widowControl/>
              <w:overflowPunct w:val="0"/>
              <w:autoSpaceDE w:val="0"/>
              <w:autoSpaceDN w:val="0"/>
              <w:adjustRightInd w:val="0"/>
              <w:spacing w:after="180" w:line="240" w:lineRule="auto"/>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 xml:space="preserve">For the </w:t>
            </w:r>
            <w:r>
              <w:rPr>
                <w:rFonts w:ascii="Times New Roman" w:hAnsi="Times New Roman" w:eastAsia="Times New Roman" w:cs="Times New Roman"/>
                <w:i/>
                <w:kern w:val="0"/>
                <w:sz w:val="20"/>
                <w:szCs w:val="20"/>
                <w:lang w:val="en-GB" w:eastAsia="ja-JP"/>
              </w:rPr>
              <w:t>measId</w:t>
            </w:r>
            <w:r>
              <w:rPr>
                <w:rFonts w:ascii="Times New Roman" w:hAnsi="Times New Roman" w:eastAsia="Times New Roman" w:cs="Times New Roman"/>
                <w:kern w:val="0"/>
                <w:sz w:val="20"/>
                <w:szCs w:val="20"/>
                <w:lang w:val="en-GB" w:eastAsia="ja-JP"/>
              </w:rPr>
              <w:t xml:space="preserve"> for which the measurement reporting procedure was triggered, the UE shall set the </w:t>
            </w:r>
            <w:r>
              <w:rPr>
                <w:rFonts w:ascii="Times New Roman" w:hAnsi="Times New Roman" w:eastAsia="Times New Roman" w:cs="Times New Roman"/>
                <w:i/>
                <w:kern w:val="0"/>
                <w:sz w:val="20"/>
                <w:szCs w:val="20"/>
                <w:lang w:val="en-GB" w:eastAsia="ja-JP"/>
              </w:rPr>
              <w:t>measResults</w:t>
            </w:r>
            <w:r>
              <w:rPr>
                <w:rFonts w:ascii="Times New Roman" w:hAnsi="Times New Roman" w:eastAsia="Times New Roman" w:cs="Times New Roman"/>
                <w:kern w:val="0"/>
                <w:sz w:val="20"/>
                <w:szCs w:val="20"/>
                <w:lang w:val="en-GB" w:eastAsia="ja-JP"/>
              </w:rPr>
              <w:t xml:space="preserve"> within the </w:t>
            </w:r>
            <w:r>
              <w:rPr>
                <w:rFonts w:ascii="Times New Roman" w:hAnsi="Times New Roman" w:eastAsia="Times New Roman" w:cs="Times New Roman"/>
                <w:i/>
                <w:kern w:val="0"/>
                <w:sz w:val="20"/>
                <w:szCs w:val="20"/>
                <w:lang w:val="en-GB" w:eastAsia="ja-JP"/>
              </w:rPr>
              <w:t>MeasurementReport</w:t>
            </w:r>
            <w:r>
              <w:rPr>
                <w:rFonts w:ascii="Times New Roman" w:hAnsi="Times New Roman" w:eastAsia="Times New Roman" w:cs="Times New Roman"/>
                <w:kern w:val="0"/>
                <w:sz w:val="20"/>
                <w:szCs w:val="20"/>
                <w:lang w:val="en-GB" w:eastAsia="ja-JP"/>
              </w:rPr>
              <w:t xml:space="preserve"> message as follows:</w:t>
            </w:r>
          </w:p>
          <w:p>
            <w:pPr>
              <w:bidi w:val="0"/>
              <w:rPr>
                <w:rFonts w:hint="default" w:eastAsiaTheme="minorEastAsia"/>
                <w:color w:val="FF0000"/>
                <w:sz w:val="20"/>
                <w:szCs w:val="20"/>
                <w:lang w:val="en-US" w:eastAsia="zh-CN"/>
              </w:rPr>
            </w:pPr>
            <w:r>
              <w:rPr>
                <w:rFonts w:hint="eastAsia"/>
                <w:color w:val="FF0000"/>
                <w:sz w:val="20"/>
                <w:szCs w:val="20"/>
                <w:lang w:val="en-US" w:eastAsia="zh-CN"/>
              </w:rPr>
              <w:t>*// skip unrelated part //*</w:t>
            </w:r>
          </w:p>
          <w:p>
            <w:pPr>
              <w:pStyle w:val="94"/>
            </w:pPr>
            <w:r>
              <w:t>1&gt;</w:t>
            </w:r>
            <w:r>
              <w:tab/>
            </w:r>
            <w:r>
              <w:t xml:space="preserve">if the </w:t>
            </w:r>
            <w:r>
              <w:rPr>
                <w:i/>
              </w:rPr>
              <w:t>triggerType</w:t>
            </w:r>
            <w:r>
              <w:t xml:space="preserve"> is set to </w:t>
            </w:r>
            <w:r>
              <w:rPr>
                <w:i/>
              </w:rPr>
              <w:t>event</w:t>
            </w:r>
            <w:r>
              <w:t xml:space="preserve">; and if </w:t>
            </w:r>
            <w:r>
              <w:rPr>
                <w:i/>
              </w:rPr>
              <w:t>eventId</w:t>
            </w:r>
            <w:r>
              <w:t xml:space="preserve"> is set to </w:t>
            </w:r>
            <w:r>
              <w:rPr>
                <w:i/>
              </w:rPr>
              <w:t>eventH1</w:t>
            </w:r>
            <w:r>
              <w:t xml:space="preserve"> or </w:t>
            </w:r>
            <w:r>
              <w:rPr>
                <w:i/>
              </w:rPr>
              <w:t>eventH2</w:t>
            </w:r>
            <w:r>
              <w:t>:</w:t>
            </w:r>
          </w:p>
          <w:p>
            <w:pPr>
              <w:pStyle w:val="106"/>
              <w:rPr>
                <w:lang w:eastAsia="zh-CN"/>
              </w:rPr>
            </w:pPr>
            <w:r>
              <w:t>2&gt;</w:t>
            </w:r>
            <w:r>
              <w:tab/>
            </w:r>
            <w:r>
              <w:t xml:space="preserve">set the </w:t>
            </w:r>
            <w:r>
              <w:rPr>
                <w:rFonts w:eastAsia="宋体"/>
                <w:i/>
                <w:lang w:eastAsia="zh-CN"/>
              </w:rPr>
              <w:t>heightUE</w:t>
            </w:r>
            <w:r>
              <w:t xml:space="preserve"> to include the </w:t>
            </w:r>
            <w:r>
              <w:rPr>
                <w:lang w:eastAsia="zh-CN"/>
              </w:rPr>
              <w:t>altitude of the UE;</w:t>
            </w:r>
          </w:p>
          <w:p>
            <w:pPr>
              <w:pStyle w:val="106"/>
              <w:ind w:left="0" w:leftChars="0" w:firstLine="0" w:firstLineChars="0"/>
              <w:rPr>
                <w:rFonts w:hint="default"/>
                <w:color w:val="0070C0"/>
                <w:lang w:val="en-US" w:eastAsia="zh-CN"/>
              </w:rPr>
            </w:pPr>
            <w:r>
              <w:rPr>
                <w:rFonts w:hint="eastAsia"/>
                <w:color w:val="0070C0"/>
                <w:lang w:val="en-US" w:eastAsia="zh-CN"/>
              </w:rPr>
              <w:t>*************************************************************************************************</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ja-JP" w:bidi="ar-SA"/>
              </w:rPr>
            </w:pPr>
            <w:bookmarkStart w:id="11" w:name="_Toc20487430"/>
            <w:bookmarkStart w:id="12" w:name="_Toc29342727"/>
            <w:bookmarkStart w:id="13" w:name="_Toc36810577"/>
            <w:bookmarkStart w:id="14" w:name="_Toc46482448"/>
            <w:bookmarkStart w:id="15" w:name="_Toc37082574"/>
            <w:bookmarkStart w:id="16" w:name="_Toc36567132"/>
            <w:bookmarkStart w:id="17" w:name="_Toc124515563"/>
            <w:bookmarkStart w:id="18" w:name="_Toc46481214"/>
            <w:bookmarkStart w:id="19" w:name="_Toc36846941"/>
            <w:bookmarkStart w:id="20" w:name="_Toc46483682"/>
            <w:bookmarkStart w:id="21" w:name="_Toc29343866"/>
            <w:bookmarkStart w:id="22" w:name="_Toc36939594"/>
            <w:r>
              <w:rPr>
                <w:rFonts w:ascii="Arial" w:hAnsi="Arial" w:eastAsia="Times New Roman" w:cs="Times New Roman"/>
                <w:sz w:val="24"/>
                <w:lang w:val="en-GB" w:eastAsia="ja-JP" w:bidi="ar-SA"/>
              </w:rPr>
              <w:t>–</w:t>
            </w:r>
            <w:r>
              <w:rPr>
                <w:rFonts w:ascii="Arial" w:hAnsi="Arial" w:eastAsia="Times New Roman" w:cs="Times New Roman"/>
                <w:sz w:val="24"/>
                <w:lang w:val="en-GB" w:eastAsia="ja-JP" w:bidi="ar-SA"/>
              </w:rPr>
              <w:tab/>
            </w:r>
            <w:r>
              <w:rPr>
                <w:rFonts w:ascii="Arial" w:hAnsi="Arial" w:eastAsia="Times New Roman" w:cs="Times New Roman"/>
                <w:i/>
                <w:sz w:val="24"/>
                <w:lang w:val="en-GB" w:eastAsia="ja-JP" w:bidi="ar-SA"/>
              </w:rPr>
              <w:t>MeasResults</w:t>
            </w:r>
            <w:bookmarkEnd w:id="11"/>
            <w:bookmarkEnd w:id="12"/>
            <w:bookmarkEnd w:id="13"/>
            <w:bookmarkEnd w:id="14"/>
            <w:bookmarkEnd w:id="15"/>
            <w:bookmarkEnd w:id="16"/>
            <w:bookmarkEnd w:id="17"/>
            <w:bookmarkEnd w:id="18"/>
            <w:bookmarkEnd w:id="19"/>
            <w:bookmarkEnd w:id="20"/>
            <w:bookmarkEnd w:id="21"/>
            <w:bookmarkEnd w:id="22"/>
          </w:p>
          <w:p>
            <w:pPr>
              <w:pStyle w:val="53"/>
              <w:keepNext w:val="0"/>
              <w:keepLines w:val="0"/>
              <w:widowControl/>
              <w:suppressLineNumbers w:val="0"/>
              <w:pBdr>
                <w:top w:val="none" w:color="auto" w:sz="0" w:space="0"/>
                <w:left w:val="none" w:color="auto" w:sz="0" w:space="0"/>
                <w:bottom w:val="none" w:color="auto" w:sz="0" w:space="0"/>
                <w:right w:val="none" w:color="auto" w:sz="0" w:space="0"/>
              </w:pBdr>
              <w:shd w:val="clear" w:fill="E6E6E6"/>
              <w:spacing w:before="0" w:beforeAutospacing="0" w:after="0" w:afterAutospacing="0"/>
              <w:ind w:left="0" w:right="0" w:firstLine="0"/>
              <w:rPr>
                <w:rFonts w:hint="default" w:ascii="Courier New" w:hAnsi="Courier New" w:cs="Courier New"/>
                <w:i w:val="0"/>
                <w:caps w:val="0"/>
                <w:color w:val="000000"/>
                <w:spacing w:val="0"/>
                <w:sz w:val="16"/>
                <w:szCs w:val="16"/>
              </w:rPr>
            </w:pPr>
            <w:r>
              <w:rPr>
                <w:rFonts w:hint="default" w:ascii="Courier New" w:hAnsi="Courier New" w:cs="Courier New"/>
                <w:i w:val="0"/>
                <w:caps w:val="0"/>
                <w:color w:val="000000"/>
                <w:spacing w:val="0"/>
                <w:sz w:val="16"/>
                <w:szCs w:val="16"/>
                <w:shd w:val="clear" w:fill="E6E6E6"/>
              </w:rPr>
              <w:t>MeasResults ::=                    SEQUENCE {</w:t>
            </w:r>
          </w:p>
          <w:p>
            <w:pPr>
              <w:pStyle w:val="53"/>
              <w:keepNext w:val="0"/>
              <w:keepLines w:val="0"/>
              <w:widowControl/>
              <w:suppressLineNumbers w:val="0"/>
              <w:pBdr>
                <w:top w:val="none" w:color="auto" w:sz="0" w:space="0"/>
                <w:left w:val="none" w:color="auto" w:sz="0" w:space="0"/>
                <w:bottom w:val="none" w:color="auto" w:sz="0" w:space="0"/>
                <w:right w:val="none" w:color="auto" w:sz="0" w:space="0"/>
              </w:pBdr>
              <w:shd w:val="clear" w:fill="E6E6E6"/>
              <w:spacing w:before="0" w:beforeAutospacing="0" w:after="0" w:afterAutospacing="0"/>
              <w:ind w:left="0" w:right="0" w:firstLine="0"/>
              <w:rPr>
                <w:rFonts w:hint="default" w:ascii="Courier New" w:hAnsi="Courier New" w:cs="Courier New"/>
                <w:i w:val="0"/>
                <w:caps w:val="0"/>
                <w:color w:val="000000"/>
                <w:spacing w:val="0"/>
                <w:sz w:val="16"/>
                <w:szCs w:val="16"/>
              </w:rPr>
            </w:pPr>
            <w:r>
              <w:rPr>
                <w:rFonts w:hint="default" w:ascii="Courier New" w:hAnsi="Courier New" w:cs="Courier New"/>
                <w:i w:val="0"/>
                <w:caps w:val="0"/>
                <w:color w:val="FF0000"/>
                <w:spacing w:val="0"/>
                <w:sz w:val="16"/>
                <w:szCs w:val="16"/>
                <w:shd w:val="clear" w:fill="E6E6E6"/>
              </w:rPr>
              <w:t>...</w:t>
            </w:r>
          </w:p>
          <w:p>
            <w:pPr>
              <w:pStyle w:val="53"/>
              <w:keepNext w:val="0"/>
              <w:keepLines w:val="0"/>
              <w:widowControl/>
              <w:suppressLineNumbers w:val="0"/>
              <w:pBdr>
                <w:top w:val="none" w:color="auto" w:sz="0" w:space="0"/>
                <w:left w:val="none" w:color="auto" w:sz="0" w:space="0"/>
                <w:bottom w:val="none" w:color="auto" w:sz="0" w:space="0"/>
                <w:right w:val="none" w:color="auto" w:sz="0" w:space="0"/>
              </w:pBdr>
              <w:shd w:val="clear" w:fill="E6E6E6"/>
              <w:spacing w:before="0" w:beforeAutospacing="0" w:after="0" w:afterAutospacing="0"/>
              <w:ind w:left="0" w:right="0" w:firstLine="0"/>
              <w:rPr>
                <w:rFonts w:hint="default" w:ascii="Courier New" w:hAnsi="Courier New" w:cs="Courier New"/>
                <w:i w:val="0"/>
                <w:caps w:val="0"/>
                <w:color w:val="000000"/>
                <w:spacing w:val="0"/>
                <w:sz w:val="16"/>
                <w:szCs w:val="16"/>
              </w:rPr>
            </w:pPr>
            <w:r>
              <w:rPr>
                <w:rFonts w:hint="default" w:ascii="Courier New" w:hAnsi="Courier New" w:cs="Courier New"/>
                <w:i w:val="0"/>
                <w:caps w:val="0"/>
                <w:color w:val="000000"/>
                <w:spacing w:val="0"/>
                <w:sz w:val="16"/>
                <w:szCs w:val="16"/>
                <w:shd w:val="clear" w:fill="E6E6E6"/>
              </w:rPr>
              <w:t>    [[  </w:t>
            </w:r>
            <w:r>
              <w:rPr>
                <w:rFonts w:hint="default" w:ascii="Courier New" w:hAnsi="Courier New" w:cs="Courier New"/>
                <w:i w:val="0"/>
                <w:caps w:val="0"/>
                <w:color w:val="000000"/>
                <w:spacing w:val="0"/>
                <w:sz w:val="16"/>
                <w:szCs w:val="16"/>
                <w:shd w:val="clear" w:fill="FFFF00"/>
              </w:rPr>
              <w:t>locationInfo-r10</w:t>
            </w:r>
            <w:r>
              <w:rPr>
                <w:rFonts w:hint="default" w:ascii="Courier New" w:hAnsi="Courier New" w:cs="Courier New"/>
                <w:i w:val="0"/>
                <w:caps w:val="0"/>
                <w:color w:val="000000"/>
                <w:spacing w:val="0"/>
                <w:sz w:val="16"/>
                <w:szCs w:val="16"/>
                <w:shd w:val="clear" w:fill="E6E6E6"/>
              </w:rPr>
              <w:t>                   LocationInfo-r10                OPTIONAL,</w:t>
            </w:r>
          </w:p>
          <w:p>
            <w:pPr>
              <w:pStyle w:val="53"/>
              <w:keepNext w:val="0"/>
              <w:keepLines w:val="0"/>
              <w:widowControl/>
              <w:suppressLineNumbers w:val="0"/>
              <w:pBdr>
                <w:top w:val="none" w:color="auto" w:sz="0" w:space="0"/>
                <w:left w:val="none" w:color="auto" w:sz="0" w:space="0"/>
                <w:bottom w:val="none" w:color="auto" w:sz="0" w:space="0"/>
                <w:right w:val="none" w:color="auto" w:sz="0" w:space="0"/>
              </w:pBdr>
              <w:shd w:val="clear" w:fill="E6E6E6"/>
              <w:spacing w:before="0" w:beforeAutospacing="0" w:after="0" w:afterAutospacing="0"/>
              <w:ind w:left="0" w:right="0" w:firstLine="0"/>
              <w:rPr>
                <w:rFonts w:hint="default" w:ascii="Courier New" w:hAnsi="Courier New" w:cs="Courier New"/>
                <w:i w:val="0"/>
                <w:caps w:val="0"/>
                <w:color w:val="000000"/>
                <w:spacing w:val="0"/>
                <w:sz w:val="16"/>
                <w:szCs w:val="16"/>
              </w:rPr>
            </w:pPr>
            <w:r>
              <w:rPr>
                <w:rFonts w:hint="default" w:ascii="Courier New" w:hAnsi="Courier New" w:cs="Courier New"/>
                <w:i w:val="0"/>
                <w:caps w:val="0"/>
                <w:color w:val="000000"/>
                <w:spacing w:val="0"/>
                <w:sz w:val="16"/>
                <w:szCs w:val="16"/>
                <w:shd w:val="clear" w:fill="E6E6E6"/>
              </w:rPr>
              <w:t>        measResultServFreqList-r10          MeasResultServFreqList-r10      OPTIONAL</w:t>
            </w:r>
          </w:p>
          <w:p>
            <w:pPr>
              <w:pStyle w:val="53"/>
              <w:keepNext w:val="0"/>
              <w:keepLines w:val="0"/>
              <w:widowControl/>
              <w:suppressLineNumbers w:val="0"/>
              <w:pBdr>
                <w:top w:val="none" w:color="auto" w:sz="0" w:space="0"/>
                <w:left w:val="none" w:color="auto" w:sz="0" w:space="0"/>
                <w:bottom w:val="none" w:color="auto" w:sz="0" w:space="0"/>
                <w:right w:val="none" w:color="auto" w:sz="0" w:space="0"/>
              </w:pBdr>
              <w:shd w:val="clear" w:fill="E6E6E6"/>
              <w:spacing w:before="0" w:beforeAutospacing="0" w:after="0" w:afterAutospacing="0"/>
              <w:ind w:left="0" w:right="0" w:firstLine="0"/>
              <w:rPr>
                <w:rFonts w:hint="default" w:ascii="Courier New" w:hAnsi="Courier New" w:cs="Courier New"/>
                <w:i w:val="0"/>
                <w:caps w:val="0"/>
                <w:color w:val="000000"/>
                <w:spacing w:val="0"/>
                <w:sz w:val="16"/>
                <w:szCs w:val="16"/>
              </w:rPr>
            </w:pPr>
            <w:r>
              <w:rPr>
                <w:rFonts w:hint="default" w:ascii="Courier New" w:hAnsi="Courier New" w:cs="Courier New"/>
                <w:i w:val="0"/>
                <w:caps w:val="0"/>
                <w:color w:val="000000"/>
                <w:spacing w:val="0"/>
                <w:sz w:val="16"/>
                <w:szCs w:val="16"/>
                <w:shd w:val="clear" w:fill="E6E6E6"/>
              </w:rPr>
              <w:t>    ]],</w:t>
            </w:r>
          </w:p>
          <w:p>
            <w:pPr>
              <w:pStyle w:val="53"/>
              <w:keepNext w:val="0"/>
              <w:keepLines w:val="0"/>
              <w:widowControl/>
              <w:suppressLineNumbers w:val="0"/>
              <w:pBdr>
                <w:top w:val="none" w:color="auto" w:sz="0" w:space="0"/>
                <w:left w:val="none" w:color="auto" w:sz="0" w:space="0"/>
                <w:bottom w:val="none" w:color="auto" w:sz="0" w:space="0"/>
                <w:right w:val="none" w:color="auto" w:sz="0" w:space="0"/>
              </w:pBdr>
              <w:shd w:val="clear" w:fill="E6E6E6"/>
              <w:spacing w:before="0" w:beforeAutospacing="0" w:after="0" w:afterAutospacing="0"/>
              <w:ind w:left="0" w:right="0" w:firstLine="0"/>
              <w:rPr>
                <w:rFonts w:hint="default" w:ascii="Courier New" w:hAnsi="Courier New" w:cs="Courier New"/>
                <w:i w:val="0"/>
                <w:caps w:val="0"/>
                <w:color w:val="000000"/>
                <w:spacing w:val="0"/>
                <w:sz w:val="16"/>
                <w:szCs w:val="16"/>
              </w:rPr>
            </w:pPr>
            <w:r>
              <w:rPr>
                <w:rFonts w:hint="default" w:ascii="Courier New" w:hAnsi="Courier New" w:cs="Courier New"/>
                <w:i w:val="0"/>
                <w:caps w:val="0"/>
                <w:color w:val="FF0000"/>
                <w:spacing w:val="0"/>
                <w:sz w:val="16"/>
                <w:szCs w:val="16"/>
                <w:shd w:val="clear" w:fill="E6E6E6"/>
              </w:rPr>
              <w:t>....</w:t>
            </w:r>
          </w:p>
          <w:p>
            <w:pPr>
              <w:pStyle w:val="53"/>
              <w:keepNext w:val="0"/>
              <w:keepLines w:val="0"/>
              <w:widowControl/>
              <w:suppressLineNumbers w:val="0"/>
              <w:pBdr>
                <w:top w:val="none" w:color="auto" w:sz="0" w:space="0"/>
                <w:left w:val="none" w:color="auto" w:sz="0" w:space="0"/>
                <w:bottom w:val="none" w:color="auto" w:sz="0" w:space="0"/>
                <w:right w:val="none" w:color="auto" w:sz="0" w:space="0"/>
              </w:pBdr>
              <w:shd w:val="clear" w:fill="E6E6E6"/>
              <w:spacing w:before="0" w:beforeAutospacing="0" w:after="0" w:afterAutospacing="0"/>
              <w:ind w:left="0" w:right="0" w:firstLine="0"/>
              <w:rPr>
                <w:rFonts w:hint="default" w:ascii="Courier New" w:hAnsi="Courier New" w:cs="Courier New"/>
                <w:i w:val="0"/>
                <w:caps w:val="0"/>
                <w:color w:val="000000"/>
                <w:spacing w:val="0"/>
                <w:sz w:val="16"/>
                <w:szCs w:val="16"/>
              </w:rPr>
            </w:pPr>
            <w:r>
              <w:rPr>
                <w:rFonts w:hint="default" w:ascii="Courier New" w:hAnsi="Courier New" w:cs="Courier New"/>
                <w:i w:val="0"/>
                <w:caps w:val="0"/>
                <w:color w:val="000000"/>
                <w:spacing w:val="0"/>
                <w:sz w:val="16"/>
                <w:szCs w:val="16"/>
                <w:shd w:val="clear" w:fill="E6E6E6"/>
              </w:rPr>
              <w:t>    [[  logMeasResultListBT-r15            LogMeasResultListBT-r15         OPTIONAL,</w:t>
            </w:r>
          </w:p>
          <w:p>
            <w:pPr>
              <w:pStyle w:val="53"/>
              <w:keepNext w:val="0"/>
              <w:keepLines w:val="0"/>
              <w:widowControl/>
              <w:suppressLineNumbers w:val="0"/>
              <w:pBdr>
                <w:top w:val="none" w:color="auto" w:sz="0" w:space="0"/>
                <w:left w:val="none" w:color="auto" w:sz="0" w:space="0"/>
                <w:bottom w:val="none" w:color="auto" w:sz="0" w:space="0"/>
                <w:right w:val="none" w:color="auto" w:sz="0" w:space="0"/>
              </w:pBdr>
              <w:shd w:val="clear" w:fill="E6E6E6"/>
              <w:spacing w:before="0" w:beforeAutospacing="0" w:after="0" w:afterAutospacing="0"/>
              <w:ind w:left="0" w:right="0" w:firstLine="0"/>
              <w:rPr>
                <w:rFonts w:hint="default" w:ascii="Courier New" w:hAnsi="Courier New" w:cs="Courier New"/>
                <w:i w:val="0"/>
                <w:caps w:val="0"/>
                <w:color w:val="000000"/>
                <w:spacing w:val="0"/>
                <w:sz w:val="16"/>
                <w:szCs w:val="16"/>
              </w:rPr>
            </w:pPr>
            <w:r>
              <w:rPr>
                <w:rFonts w:hint="default" w:ascii="Courier New" w:hAnsi="Courier New" w:cs="Courier New"/>
                <w:i w:val="0"/>
                <w:caps w:val="0"/>
                <w:color w:val="000000"/>
                <w:spacing w:val="0"/>
                <w:sz w:val="16"/>
                <w:szCs w:val="16"/>
                <w:shd w:val="clear" w:fill="E6E6E6"/>
              </w:rPr>
              <w:t>        logMeasResultListWLAN-r15           LogMeasResultListWLAN-r15       OPTIONAL,</w:t>
            </w:r>
          </w:p>
          <w:p>
            <w:pPr>
              <w:pStyle w:val="53"/>
              <w:keepNext w:val="0"/>
              <w:keepLines w:val="0"/>
              <w:widowControl/>
              <w:suppressLineNumbers w:val="0"/>
              <w:pBdr>
                <w:top w:val="none" w:color="auto" w:sz="0" w:space="0"/>
                <w:left w:val="none" w:color="auto" w:sz="0" w:space="0"/>
                <w:bottom w:val="none" w:color="auto" w:sz="0" w:space="0"/>
                <w:right w:val="none" w:color="auto" w:sz="0" w:space="0"/>
              </w:pBdr>
              <w:shd w:val="clear" w:fill="E6E6E6"/>
              <w:spacing w:before="0" w:beforeAutospacing="0" w:after="0" w:afterAutospacing="0"/>
              <w:ind w:left="0" w:right="0" w:firstLine="0"/>
              <w:rPr>
                <w:rFonts w:hint="default" w:ascii="Courier New" w:hAnsi="Courier New" w:cs="Courier New"/>
                <w:i w:val="0"/>
                <w:caps w:val="0"/>
                <w:color w:val="000000"/>
                <w:spacing w:val="0"/>
                <w:sz w:val="16"/>
                <w:szCs w:val="16"/>
              </w:rPr>
            </w:pPr>
            <w:r>
              <w:rPr>
                <w:rFonts w:hint="default" w:ascii="Courier New" w:hAnsi="Courier New" w:cs="Courier New"/>
                <w:i w:val="0"/>
                <w:caps w:val="0"/>
                <w:color w:val="000000"/>
                <w:spacing w:val="0"/>
                <w:sz w:val="16"/>
                <w:szCs w:val="16"/>
                <w:shd w:val="clear" w:fill="E6E6E6"/>
              </w:rPr>
              <w:t>        measResultSensing-r15           MeasResultSensing-r15               OPTIONAL,</w:t>
            </w:r>
          </w:p>
          <w:p>
            <w:pPr>
              <w:pStyle w:val="53"/>
              <w:keepNext w:val="0"/>
              <w:keepLines w:val="0"/>
              <w:widowControl/>
              <w:suppressLineNumbers w:val="0"/>
              <w:pBdr>
                <w:top w:val="none" w:color="auto" w:sz="0" w:space="0"/>
                <w:left w:val="none" w:color="auto" w:sz="0" w:space="0"/>
                <w:bottom w:val="none" w:color="auto" w:sz="0" w:space="0"/>
                <w:right w:val="none" w:color="auto" w:sz="0" w:space="0"/>
              </w:pBdr>
              <w:shd w:val="clear" w:fill="E6E6E6"/>
              <w:spacing w:before="0" w:beforeAutospacing="0" w:after="0" w:afterAutospacing="0"/>
              <w:ind w:left="0" w:right="0" w:firstLine="0"/>
              <w:rPr>
                <w:rFonts w:hint="default" w:ascii="Courier New" w:hAnsi="Courier New" w:cs="Courier New"/>
                <w:i w:val="0"/>
                <w:caps w:val="0"/>
                <w:color w:val="000000"/>
                <w:spacing w:val="0"/>
                <w:sz w:val="16"/>
                <w:szCs w:val="16"/>
              </w:rPr>
            </w:pPr>
            <w:r>
              <w:rPr>
                <w:rFonts w:hint="default" w:ascii="Courier New" w:hAnsi="Courier New" w:cs="Courier New"/>
                <w:i w:val="0"/>
                <w:caps w:val="0"/>
                <w:color w:val="000000"/>
                <w:spacing w:val="0"/>
                <w:sz w:val="16"/>
                <w:szCs w:val="16"/>
                <w:shd w:val="clear" w:fill="E6E6E6"/>
              </w:rPr>
              <w:t>        </w:t>
            </w:r>
            <w:r>
              <w:rPr>
                <w:rFonts w:hint="default" w:ascii="Courier New" w:hAnsi="Courier New" w:cs="Courier New"/>
                <w:i w:val="0"/>
                <w:caps w:val="0"/>
                <w:color w:val="000000"/>
                <w:spacing w:val="0"/>
                <w:sz w:val="16"/>
                <w:szCs w:val="16"/>
                <w:shd w:val="clear" w:fill="00FF00"/>
              </w:rPr>
              <w:t>heightUE-r15</w:t>
            </w:r>
            <w:r>
              <w:rPr>
                <w:rFonts w:hint="default" w:ascii="Courier New" w:hAnsi="Courier New" w:cs="Courier New"/>
                <w:i w:val="0"/>
                <w:caps w:val="0"/>
                <w:color w:val="000000"/>
                <w:spacing w:val="0"/>
                <w:sz w:val="16"/>
                <w:szCs w:val="16"/>
                <w:shd w:val="clear" w:fill="E6E6E6"/>
              </w:rPr>
              <w:t>                       INTEGER (-400..8880)        OPTIONAL</w:t>
            </w:r>
          </w:p>
          <w:p>
            <w:pPr>
              <w:pStyle w:val="53"/>
              <w:keepNext w:val="0"/>
              <w:keepLines w:val="0"/>
              <w:widowControl/>
              <w:suppressLineNumbers w:val="0"/>
              <w:pBdr>
                <w:top w:val="none" w:color="auto" w:sz="0" w:space="0"/>
                <w:left w:val="none" w:color="auto" w:sz="0" w:space="0"/>
                <w:bottom w:val="none" w:color="auto" w:sz="0" w:space="0"/>
                <w:right w:val="none" w:color="auto" w:sz="0" w:space="0"/>
              </w:pBdr>
              <w:shd w:val="clear" w:fill="E6E6E6"/>
              <w:spacing w:before="0" w:beforeAutospacing="0" w:after="0" w:afterAutospacing="0"/>
              <w:ind w:left="0" w:right="0" w:firstLine="0"/>
              <w:rPr>
                <w:rFonts w:hint="default" w:ascii="Courier New" w:hAnsi="Courier New" w:cs="Courier New"/>
                <w:i w:val="0"/>
                <w:caps w:val="0"/>
                <w:color w:val="000000"/>
                <w:spacing w:val="0"/>
                <w:sz w:val="16"/>
                <w:szCs w:val="16"/>
              </w:rPr>
            </w:pPr>
            <w:r>
              <w:rPr>
                <w:rFonts w:hint="default" w:ascii="Courier New" w:hAnsi="Courier New" w:cs="Courier New"/>
                <w:i w:val="0"/>
                <w:caps w:val="0"/>
                <w:color w:val="000000"/>
                <w:spacing w:val="0"/>
                <w:sz w:val="16"/>
                <w:szCs w:val="16"/>
                <w:shd w:val="clear" w:fill="E6E6E6"/>
              </w:rPr>
              <w:t>    ]],</w:t>
            </w:r>
          </w:p>
          <w:p>
            <w:pPr>
              <w:pStyle w:val="53"/>
              <w:keepNext w:val="0"/>
              <w:keepLines w:val="0"/>
              <w:widowControl/>
              <w:suppressLineNumbers w:val="0"/>
              <w:pBdr>
                <w:top w:val="none" w:color="auto" w:sz="0" w:space="0"/>
                <w:left w:val="none" w:color="auto" w:sz="0" w:space="0"/>
                <w:bottom w:val="none" w:color="auto" w:sz="0" w:space="0"/>
                <w:right w:val="none" w:color="auto" w:sz="0" w:space="0"/>
              </w:pBdr>
              <w:shd w:val="clear" w:fill="E6E6E6"/>
              <w:spacing w:before="0" w:beforeAutospacing="0" w:after="0" w:afterAutospacing="0"/>
              <w:ind w:left="0" w:right="0" w:firstLine="0"/>
              <w:rPr>
                <w:rFonts w:hint="default" w:ascii="Courier New" w:hAnsi="Courier New" w:cs="Courier New"/>
                <w:i w:val="0"/>
                <w:caps w:val="0"/>
                <w:color w:val="000000"/>
                <w:spacing w:val="0"/>
                <w:sz w:val="16"/>
                <w:szCs w:val="16"/>
              </w:rPr>
            </w:pPr>
            <w:r>
              <w:rPr>
                <w:rFonts w:hint="default" w:ascii="Courier New" w:hAnsi="Courier New" w:cs="Courier New"/>
                <w:i w:val="0"/>
                <w:caps w:val="0"/>
                <w:color w:val="FF0000"/>
                <w:spacing w:val="0"/>
                <w:sz w:val="16"/>
                <w:szCs w:val="16"/>
                <w:shd w:val="clear" w:fill="E6E6E6"/>
              </w:rPr>
              <w:t>...</w:t>
            </w:r>
          </w:p>
          <w:p>
            <w:pPr>
              <w:pStyle w:val="53"/>
              <w:keepNext w:val="0"/>
              <w:keepLines w:val="0"/>
              <w:widowControl/>
              <w:suppressLineNumbers w:val="0"/>
              <w:pBdr>
                <w:top w:val="none" w:color="auto" w:sz="0" w:space="0"/>
                <w:left w:val="none" w:color="auto" w:sz="0" w:space="0"/>
                <w:bottom w:val="none" w:color="auto" w:sz="0" w:space="0"/>
                <w:right w:val="none" w:color="auto" w:sz="0" w:space="0"/>
              </w:pBdr>
              <w:shd w:val="clear" w:fill="E6E6E6"/>
              <w:spacing w:before="0" w:beforeAutospacing="0" w:after="0" w:afterAutospacing="0"/>
              <w:ind w:left="0" w:right="0" w:firstLine="0"/>
              <w:rPr>
                <w:rFonts w:hint="default" w:ascii="Courier New" w:hAnsi="Courier New" w:cs="Courier New"/>
                <w:i w:val="0"/>
                <w:caps w:val="0"/>
                <w:color w:val="000000"/>
                <w:spacing w:val="0"/>
                <w:sz w:val="16"/>
                <w:szCs w:val="16"/>
              </w:rPr>
            </w:pPr>
            <w:r>
              <w:rPr>
                <w:rFonts w:hint="default" w:ascii="Courier New" w:hAnsi="Courier New" w:cs="Courier New"/>
                <w:i w:val="0"/>
                <w:caps w:val="0"/>
                <w:color w:val="000000"/>
                <w:spacing w:val="0"/>
                <w:sz w:val="16"/>
                <w:szCs w:val="16"/>
                <w:shd w:val="clear" w:fill="E6E6E6"/>
              </w:rPr>
              <w:t>}</w:t>
            </w:r>
          </w:p>
          <w:p>
            <w:pPr>
              <w:widowControl w:val="0"/>
              <w:numPr>
                <w:ilvl w:val="0"/>
                <w:numId w:val="0"/>
              </w:numPr>
              <w:jc w:val="both"/>
              <w:rPr>
                <w:rFonts w:hint="default" w:cs="Times New Roman"/>
                <w:b w:val="0"/>
                <w:bCs w:val="0"/>
                <w:sz w:val="21"/>
                <w:szCs w:val="21"/>
                <w:lang w:val="en-US" w:eastAsia="zh-CN"/>
              </w:rPr>
            </w:pPr>
          </w:p>
          <w:tbl>
            <w:tblPr>
              <w:tblStyle w:val="56"/>
              <w:tblW w:w="9639"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0" w:type="dxa"/>
                <w:left w:w="108" w:type="dxa"/>
                <w:bottom w:w="0" w:type="dxa"/>
                <w:right w:w="108" w:type="dxa"/>
              </w:tblCellMar>
            </w:tblPr>
            <w:tblGrid>
              <w:gridCol w:w="9639"/>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Height w:val="105" w:hRule="atLeast"/>
              </w:trPr>
              <w:tc>
                <w:tcPr>
                  <w:tcW w:w="9639" w:type="dxa"/>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heightUE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Indicates height of the UE in meters relative to the sea level. Value 0 corresponds to sea level (i.e., negative value indicates depth of the UE below sea level). Value -400 corresponds to -400 m, value -399 corresponds to -399 m and so on.</w:t>
                  </w:r>
                </w:p>
              </w:tc>
            </w:tr>
          </w:tbl>
          <w:p>
            <w:pPr>
              <w:widowControl w:val="0"/>
              <w:numPr>
                <w:ilvl w:val="0"/>
                <w:numId w:val="0"/>
              </w:numPr>
              <w:jc w:val="both"/>
              <w:rPr>
                <w:rFonts w:hint="eastAsia" w:cs="Times New Roman"/>
                <w:b w:val="0"/>
                <w:bCs w:val="0"/>
                <w:sz w:val="21"/>
                <w:szCs w:val="21"/>
                <w:vertAlign w:val="baseline"/>
                <w:lang w:val="en-US" w:eastAsia="zh-CN"/>
              </w:rPr>
            </w:pPr>
          </w:p>
        </w:tc>
      </w:tr>
    </w:tbl>
    <w:p>
      <w:pPr>
        <w:widowControl w:val="0"/>
        <w:numPr>
          <w:ilvl w:val="0"/>
          <w:numId w:val="0"/>
        </w:numPr>
        <w:jc w:val="both"/>
        <w:rPr>
          <w:rFonts w:hint="eastAsia" w:cs="Times New Roman"/>
          <w:b w:val="0"/>
          <w:bCs w:val="0"/>
          <w:sz w:val="21"/>
          <w:szCs w:val="21"/>
          <w:lang w:val="en-US" w:eastAsia="zh-CN"/>
        </w:rPr>
      </w:pPr>
      <w:r>
        <w:rPr>
          <w:rFonts w:hint="eastAsia" w:cs="Times New Roman"/>
          <w:b w:val="0"/>
          <w:bCs w:val="0"/>
          <w:sz w:val="21"/>
          <w:szCs w:val="21"/>
          <w:lang w:val="en-US" w:eastAsia="zh-CN"/>
        </w:rPr>
        <w:t xml:space="preserve">Although the current location information can also indicate the height related information (e.g. via </w:t>
      </w:r>
      <w:r>
        <w:rPr>
          <w:rFonts w:hint="eastAsia" w:cs="Times New Roman"/>
          <w:b w:val="0"/>
          <w:bCs w:val="0"/>
          <w:i/>
          <w:iCs/>
          <w:sz w:val="21"/>
          <w:szCs w:val="21"/>
          <w:lang w:val="en-US" w:eastAsia="zh-CN"/>
        </w:rPr>
        <w:t>altitude-r15</w:t>
      </w:r>
      <w:r>
        <w:rPr>
          <w:rFonts w:hint="eastAsia" w:cs="Times New Roman"/>
          <w:b w:val="0"/>
          <w:bCs w:val="0"/>
          <w:sz w:val="21"/>
          <w:szCs w:val="21"/>
          <w:lang w:val="en-US" w:eastAsia="zh-CN"/>
        </w:rPr>
        <w:t xml:space="preserve"> IE in </w:t>
      </w:r>
      <w:r>
        <w:rPr>
          <w:rFonts w:hint="eastAsia" w:cs="Times New Roman"/>
          <w:b w:val="0"/>
          <w:bCs w:val="0"/>
          <w:i/>
          <w:iCs/>
          <w:sz w:val="21"/>
          <w:szCs w:val="21"/>
          <w:lang w:val="en-US" w:eastAsia="zh-CN"/>
        </w:rPr>
        <w:t>HighAccuracyEllipsoidPointWithAltitudeAndUncertaintyEllipsoid</w:t>
      </w:r>
      <w:r>
        <w:rPr>
          <w:rFonts w:hint="eastAsia" w:cs="Times New Roman"/>
          <w:b w:val="0"/>
          <w:bCs w:val="0"/>
          <w:sz w:val="21"/>
          <w:szCs w:val="21"/>
          <w:lang w:val="en-US" w:eastAsia="zh-CN"/>
        </w:rPr>
        <w:t xml:space="preserve"> IE within </w:t>
      </w:r>
      <w:r>
        <w:rPr>
          <w:i/>
          <w:snapToGrid w:val="0"/>
          <w:lang w:eastAsia="en-GB"/>
        </w:rPr>
        <w:t>LocationCoordinates</w:t>
      </w:r>
      <w:r>
        <w:rPr>
          <w:rFonts w:hint="eastAsia"/>
          <w:i/>
          <w:snapToGrid w:val="0"/>
          <w:lang w:val="en-US" w:eastAsia="zh-CN"/>
        </w:rPr>
        <w:t xml:space="preserve"> </w:t>
      </w:r>
      <w:r>
        <w:rPr>
          <w:rFonts w:hint="eastAsia"/>
          <w:i w:val="0"/>
          <w:iCs/>
          <w:snapToGrid w:val="0"/>
          <w:lang w:val="en-US" w:eastAsia="zh-CN"/>
        </w:rPr>
        <w:t>IE</w:t>
      </w:r>
      <w:r>
        <w:rPr>
          <w:rFonts w:hint="eastAsia" w:cs="Times New Roman"/>
          <w:b w:val="0"/>
          <w:bCs w:val="0"/>
          <w:sz w:val="21"/>
          <w:szCs w:val="21"/>
          <w:lang w:val="en-US" w:eastAsia="zh-CN"/>
        </w:rPr>
        <w:t>), such height can only be reported with the coordination information, if available at the UE side. Considering that the</w:t>
      </w:r>
      <w:r>
        <w:rPr>
          <w:rFonts w:hint="default" w:cs="Times New Roman"/>
          <w:b w:val="0"/>
          <w:bCs w:val="0"/>
          <w:sz w:val="21"/>
          <w:szCs w:val="21"/>
          <w:lang w:val="en-US" w:eastAsia="zh-CN"/>
        </w:rPr>
        <w:t xml:space="preserve"> UE evaluates H1/H2 based on UE's height, </w:t>
      </w:r>
      <w:r>
        <w:rPr>
          <w:rFonts w:hint="eastAsia" w:cs="Times New Roman"/>
          <w:b w:val="0"/>
          <w:bCs w:val="0"/>
          <w:sz w:val="21"/>
          <w:szCs w:val="21"/>
          <w:lang w:val="en-US" w:eastAsia="zh-CN"/>
        </w:rPr>
        <w:t xml:space="preserve">we think the height information should be able to be reported separately, e.g. without location information. And we see </w:t>
      </w:r>
      <w:r>
        <w:rPr>
          <w:rFonts w:hint="default" w:cs="Times New Roman"/>
          <w:b w:val="0"/>
          <w:bCs w:val="0"/>
          <w:sz w:val="21"/>
          <w:szCs w:val="21"/>
          <w:lang w:val="en-US" w:eastAsia="zh-CN"/>
        </w:rPr>
        <w:t xml:space="preserve">no problem to </w:t>
      </w:r>
      <w:r>
        <w:rPr>
          <w:rFonts w:hint="eastAsia" w:cs="Times New Roman"/>
          <w:b w:val="0"/>
          <w:bCs w:val="0"/>
          <w:sz w:val="21"/>
          <w:szCs w:val="21"/>
          <w:lang w:val="en-US" w:eastAsia="zh-CN"/>
        </w:rPr>
        <w:t xml:space="preserve">always </w:t>
      </w:r>
      <w:r>
        <w:rPr>
          <w:rFonts w:hint="default" w:cs="Times New Roman"/>
          <w:b w:val="0"/>
          <w:bCs w:val="0"/>
          <w:sz w:val="21"/>
          <w:szCs w:val="21"/>
          <w:lang w:val="en-US" w:eastAsia="zh-CN"/>
        </w:rPr>
        <w:t xml:space="preserve">include the height results in </w:t>
      </w:r>
      <w:r>
        <w:rPr>
          <w:rFonts w:hint="eastAsia" w:cs="Times New Roman"/>
          <w:b w:val="0"/>
          <w:bCs w:val="0"/>
          <w:sz w:val="21"/>
          <w:szCs w:val="21"/>
          <w:lang w:val="en-US" w:eastAsia="zh-CN"/>
        </w:rPr>
        <w:t>measurement report</w:t>
      </w:r>
      <w:r>
        <w:rPr>
          <w:rFonts w:hint="default" w:cs="Times New Roman"/>
          <w:b w:val="0"/>
          <w:bCs w:val="0"/>
          <w:sz w:val="21"/>
          <w:szCs w:val="21"/>
          <w:lang w:val="en-US" w:eastAsia="zh-CN"/>
        </w:rPr>
        <w:t xml:space="preserve">. </w:t>
      </w:r>
      <w:r>
        <w:rPr>
          <w:rFonts w:hint="eastAsia" w:cs="Times New Roman"/>
          <w:b w:val="0"/>
          <w:bCs w:val="0"/>
          <w:sz w:val="21"/>
          <w:szCs w:val="21"/>
          <w:lang w:val="en-US" w:eastAsia="zh-CN"/>
        </w:rPr>
        <w:t xml:space="preserve">Thus, we prefer to introduce a separate IE (e.g. </w:t>
      </w:r>
      <w:r>
        <w:rPr>
          <w:rFonts w:hint="eastAsia" w:cs="Times New Roman"/>
          <w:b w:val="0"/>
          <w:bCs w:val="0"/>
          <w:i/>
          <w:iCs/>
          <w:sz w:val="21"/>
          <w:szCs w:val="21"/>
          <w:lang w:val="en-US" w:eastAsia="zh-CN"/>
        </w:rPr>
        <w:t>heightUE</w:t>
      </w:r>
      <w:r>
        <w:rPr>
          <w:rFonts w:hint="eastAsia" w:cs="Times New Roman"/>
          <w:b w:val="0"/>
          <w:bCs w:val="0"/>
          <w:sz w:val="21"/>
          <w:szCs w:val="21"/>
          <w:lang w:val="en-US" w:eastAsia="zh-CN"/>
        </w:rPr>
        <w:t>) for the height reporting, as in LTE UAV. When event H1 or H2 triggers, the UAV UE</w:t>
      </w:r>
      <w:r>
        <w:rPr>
          <w:rFonts w:hint="default" w:cs="Times New Roman"/>
          <w:b w:val="0"/>
          <w:bCs w:val="0"/>
          <w:sz w:val="21"/>
          <w:szCs w:val="21"/>
          <w:lang w:val="en-US" w:eastAsia="zh-CN"/>
        </w:rPr>
        <w:t>’</w:t>
      </w:r>
      <w:r>
        <w:rPr>
          <w:rFonts w:hint="eastAsia" w:cs="Times New Roman"/>
          <w:b w:val="0"/>
          <w:bCs w:val="0"/>
          <w:sz w:val="21"/>
          <w:szCs w:val="21"/>
          <w:lang w:val="en-US" w:eastAsia="zh-CN"/>
        </w:rPr>
        <w:t>s height is mandatorily reported</w:t>
      </w:r>
      <w:r>
        <w:rPr>
          <w:rFonts w:hint="default" w:cs="Times New Roman"/>
          <w:b w:val="0"/>
          <w:bCs w:val="0"/>
          <w:sz w:val="21"/>
          <w:szCs w:val="21"/>
          <w:lang w:val="en-US" w:eastAsia="zh-CN"/>
        </w:rPr>
        <w:t xml:space="preserve"> </w:t>
      </w:r>
      <w:r>
        <w:rPr>
          <w:rFonts w:hint="eastAsia" w:cs="Times New Roman"/>
          <w:b w:val="0"/>
          <w:bCs w:val="0"/>
          <w:sz w:val="21"/>
          <w:szCs w:val="21"/>
          <w:lang w:val="en-US" w:eastAsia="zh-CN"/>
        </w:rPr>
        <w:t>in the measurement result.</w:t>
      </w:r>
    </w:p>
    <w:p>
      <w:pPr>
        <w:widowControl w:val="0"/>
        <w:numPr>
          <w:ilvl w:val="0"/>
          <w:numId w:val="0"/>
        </w:numPr>
        <w:jc w:val="both"/>
        <w:rPr>
          <w:rFonts w:hint="eastAsia" w:cs="Times New Roman"/>
          <w:b w:val="0"/>
          <w:bCs w:val="0"/>
          <w:sz w:val="21"/>
          <w:szCs w:val="21"/>
          <w:lang w:val="en-US" w:eastAsia="zh-CN"/>
        </w:rPr>
      </w:pPr>
      <w:r>
        <w:rPr>
          <w:rFonts w:hint="eastAsia" w:cs="Times New Roman"/>
          <w:b/>
          <w:bCs/>
          <w:sz w:val="21"/>
          <w:szCs w:val="21"/>
          <w:lang w:val="en-US" w:eastAsia="zh-CN"/>
        </w:rPr>
        <w:t xml:space="preserve">Proposal 1: A separate IE (e.g. </w:t>
      </w:r>
      <w:r>
        <w:rPr>
          <w:rFonts w:hint="eastAsia" w:cs="Times New Roman"/>
          <w:b/>
          <w:bCs/>
          <w:i/>
          <w:iCs/>
          <w:sz w:val="21"/>
          <w:szCs w:val="21"/>
          <w:lang w:val="en-US" w:eastAsia="zh-CN"/>
        </w:rPr>
        <w:t>heightUE</w:t>
      </w:r>
      <w:r>
        <w:rPr>
          <w:rFonts w:hint="eastAsia" w:cs="Times New Roman"/>
          <w:b/>
          <w:bCs/>
          <w:sz w:val="21"/>
          <w:szCs w:val="21"/>
          <w:lang w:val="en-US" w:eastAsia="zh-CN"/>
        </w:rPr>
        <w:t>) is introduced for the height reporting triggered by event H1 or H2, as in LTE. When event H1 or H2 triggers, the UE shall mandatorialy include the UAV UE</w:t>
      </w:r>
      <w:r>
        <w:rPr>
          <w:rFonts w:hint="default" w:cs="Times New Roman"/>
          <w:b/>
          <w:bCs/>
          <w:sz w:val="21"/>
          <w:szCs w:val="21"/>
          <w:lang w:val="en-US" w:eastAsia="zh-CN"/>
        </w:rPr>
        <w:t>’</w:t>
      </w:r>
      <w:r>
        <w:rPr>
          <w:rFonts w:hint="eastAsia" w:cs="Times New Roman"/>
          <w:b/>
          <w:bCs/>
          <w:sz w:val="21"/>
          <w:szCs w:val="21"/>
          <w:lang w:val="en-US" w:eastAsia="zh-CN"/>
        </w:rPr>
        <w:t xml:space="preserve">s height in the separate IE within the measurement result. </w:t>
      </w:r>
    </w:p>
    <w:p>
      <w:pPr>
        <w:widowControl w:val="0"/>
        <w:numPr>
          <w:ilvl w:val="0"/>
          <w:numId w:val="0"/>
        </w:numPr>
        <w:jc w:val="both"/>
        <w:rPr>
          <w:rFonts w:hint="eastAsia" w:cs="Times New Roman"/>
          <w:b w:val="0"/>
          <w:bCs w:val="0"/>
          <w:sz w:val="21"/>
          <w:szCs w:val="21"/>
          <w:lang w:val="en-US" w:eastAsia="zh-CN"/>
        </w:rPr>
      </w:pPr>
      <w:r>
        <w:rPr>
          <w:rFonts w:hint="eastAsia" w:cs="Times New Roman"/>
          <w:b w:val="0"/>
          <w:bCs w:val="0"/>
          <w:sz w:val="21"/>
          <w:szCs w:val="21"/>
          <w:lang w:val="en-US" w:eastAsia="zh-CN"/>
        </w:rPr>
        <w:t xml:space="preserve">In NR, for each measurement report triggered by event, the UE shall set the quantities results of concerned cells in the measurement report. Besides, the NW can configure </w:t>
      </w:r>
      <w:r>
        <w:rPr>
          <w:rFonts w:hint="eastAsia" w:cs="Times New Roman"/>
          <w:b w:val="0"/>
          <w:bCs w:val="0"/>
          <w:i/>
          <w:iCs/>
          <w:sz w:val="21"/>
          <w:szCs w:val="21"/>
          <w:lang w:val="en-US" w:eastAsia="zh-CN"/>
        </w:rPr>
        <w:t xml:space="preserve">reportAddNeighMeas </w:t>
      </w:r>
      <w:r>
        <w:rPr>
          <w:rFonts w:hint="eastAsia" w:cs="Times New Roman"/>
          <w:b w:val="0"/>
          <w:bCs w:val="0"/>
          <w:sz w:val="21"/>
          <w:szCs w:val="21"/>
          <w:lang w:val="en-US" w:eastAsia="zh-CN"/>
        </w:rPr>
        <w:t xml:space="preserve">IE in </w:t>
      </w:r>
      <w:r>
        <w:rPr>
          <w:rFonts w:hint="eastAsia" w:cs="Times New Roman"/>
          <w:b w:val="0"/>
          <w:bCs w:val="0"/>
          <w:i/>
          <w:iCs/>
          <w:sz w:val="21"/>
          <w:szCs w:val="21"/>
          <w:lang w:val="en-US" w:eastAsia="zh-CN"/>
        </w:rPr>
        <w:t xml:space="preserve">ReportConfig </w:t>
      </w:r>
      <w:r>
        <w:rPr>
          <w:rFonts w:hint="eastAsia" w:cs="Times New Roman"/>
          <w:b w:val="0"/>
          <w:bCs w:val="0"/>
          <w:sz w:val="21"/>
          <w:szCs w:val="21"/>
          <w:lang w:val="en-US" w:eastAsia="zh-CN"/>
        </w:rPr>
        <w:t xml:space="preserve">to indicate whether to include the best neighbour cells per serving frequency in the measurement report. Thus, according to the current spec, the UE shall include the RSRP/RSRQ/SINR measurement results of concerned cells in the measurement report triggered by event H1 or H2, if available. </w:t>
      </w:r>
    </w:p>
    <w:p>
      <w:pPr>
        <w:widowControl w:val="0"/>
        <w:numPr>
          <w:ilvl w:val="0"/>
          <w:numId w:val="0"/>
        </w:numPr>
        <w:jc w:val="both"/>
        <w:rPr>
          <w:rFonts w:hint="default" w:cs="Times New Roman"/>
          <w:b w:val="0"/>
          <w:bCs w:val="0"/>
          <w:i/>
          <w:iCs/>
          <w:sz w:val="21"/>
          <w:szCs w:val="21"/>
          <w:lang w:val="en-US" w:eastAsia="zh-CN"/>
        </w:rPr>
      </w:pPr>
      <w:r>
        <w:rPr>
          <w:rFonts w:hint="eastAsia" w:cs="Times New Roman"/>
          <w:b w:val="0"/>
          <w:bCs w:val="0"/>
          <w:i/>
          <w:iCs/>
          <w:sz w:val="21"/>
          <w:szCs w:val="21"/>
          <w:lang w:val="en-US" w:eastAsia="zh-CN"/>
        </w:rPr>
        <w:t>Observation 1: In NR, for each measurement report triggered by event, the UE shall set the RSRP/RSRQ/SINR measurement results of concerned cells in the measurement report, if available.</w:t>
      </w:r>
    </w:p>
    <w:p>
      <w:pPr>
        <w:widowControl w:val="0"/>
        <w:numPr>
          <w:ilvl w:val="0"/>
          <w:numId w:val="0"/>
        </w:numPr>
        <w:jc w:val="both"/>
        <w:rPr>
          <w:rFonts w:hint="default" w:cs="Times New Roman"/>
          <w:b w:val="0"/>
          <w:bCs w:val="0"/>
          <w:sz w:val="21"/>
          <w:szCs w:val="21"/>
          <w:lang w:val="en-US" w:eastAsia="zh-CN"/>
        </w:rPr>
      </w:pPr>
      <w:r>
        <w:rPr>
          <w:rFonts w:hint="eastAsia" w:cs="Times New Roman"/>
          <w:b w:val="0"/>
          <w:bCs w:val="0"/>
          <w:sz w:val="21"/>
          <w:szCs w:val="21"/>
          <w:lang w:val="en-US" w:eastAsia="zh-CN"/>
        </w:rPr>
        <w:t>However, including the RSRP/RSRQ/SINR measurement results in the measurement report shall increase the report size. And considering that more frequent measurement report may be triggered in aerial UE</w:t>
      </w:r>
      <w:r>
        <w:rPr>
          <w:rFonts w:hint="default" w:cs="Times New Roman"/>
          <w:b w:val="0"/>
          <w:bCs w:val="0"/>
          <w:sz w:val="21"/>
          <w:szCs w:val="21"/>
          <w:lang w:val="en-US" w:eastAsia="zh-CN"/>
        </w:rPr>
        <w:t>’</w:t>
      </w:r>
      <w:r>
        <w:rPr>
          <w:rFonts w:hint="eastAsia" w:cs="Times New Roman"/>
          <w:b w:val="0"/>
          <w:bCs w:val="0"/>
          <w:sz w:val="21"/>
          <w:szCs w:val="21"/>
          <w:lang w:val="en-US" w:eastAsia="zh-CN"/>
        </w:rPr>
        <w:t>s environment, it may cause larger interference. Thus, it</w:t>
      </w:r>
      <w:r>
        <w:rPr>
          <w:rFonts w:hint="default" w:cs="Times New Roman"/>
          <w:b w:val="0"/>
          <w:bCs w:val="0"/>
          <w:sz w:val="21"/>
          <w:szCs w:val="21"/>
          <w:lang w:val="en-US" w:eastAsia="zh-CN"/>
        </w:rPr>
        <w:t>’</w:t>
      </w:r>
      <w:r>
        <w:rPr>
          <w:rFonts w:hint="eastAsia" w:cs="Times New Roman"/>
          <w:b w:val="0"/>
          <w:bCs w:val="0"/>
          <w:sz w:val="21"/>
          <w:szCs w:val="21"/>
          <w:lang w:val="en-US" w:eastAsia="zh-CN"/>
        </w:rPr>
        <w:t xml:space="preserve">s preferred whether the content included in the measurement report is configurable by the NW. An new indication (e.g. </w:t>
      </w:r>
      <w:r>
        <w:rPr>
          <w:rFonts w:hint="eastAsia" w:cs="Times New Roman"/>
          <w:b w:val="0"/>
          <w:bCs w:val="0"/>
          <w:i/>
          <w:iCs/>
          <w:sz w:val="21"/>
          <w:szCs w:val="21"/>
          <w:lang w:val="en-US" w:eastAsia="zh-CN"/>
        </w:rPr>
        <w:t xml:space="preserve">includeQuantities </w:t>
      </w:r>
      <w:r>
        <w:rPr>
          <w:rFonts w:hint="eastAsia" w:cs="Times New Roman"/>
          <w:b w:val="0"/>
          <w:bCs w:val="0"/>
          <w:sz w:val="21"/>
          <w:szCs w:val="21"/>
          <w:lang w:val="en-US" w:eastAsia="zh-CN"/>
        </w:rPr>
        <w:t xml:space="preserve">IE) can be introduced in the </w:t>
      </w:r>
      <w:r>
        <w:rPr>
          <w:rFonts w:hint="eastAsia" w:cs="Times New Roman"/>
          <w:b w:val="0"/>
          <w:bCs w:val="0"/>
          <w:i/>
          <w:iCs/>
          <w:sz w:val="21"/>
          <w:szCs w:val="21"/>
          <w:lang w:val="en-US" w:eastAsia="zh-CN"/>
        </w:rPr>
        <w:t xml:space="preserve">ReportConfigNR </w:t>
      </w:r>
      <w:r>
        <w:rPr>
          <w:rFonts w:hint="eastAsia" w:cs="Times New Roman"/>
          <w:b w:val="0"/>
          <w:bCs w:val="0"/>
          <w:sz w:val="21"/>
          <w:szCs w:val="21"/>
          <w:lang w:val="en-US" w:eastAsia="zh-CN"/>
        </w:rPr>
        <w:t>IE to indicate whether the RSRP/RSRQ/SINR measurement results shall be included in the measurement report triggered by event H1 or H2. The indication can be introduced by a SEQUENCE structure to separately indicate which quantities results are required in the measurement report.</w:t>
      </w:r>
    </w:p>
    <w:p>
      <w:pPr>
        <w:widowControl w:val="0"/>
        <w:numPr>
          <w:ilvl w:val="0"/>
          <w:numId w:val="0"/>
        </w:numPr>
        <w:jc w:val="both"/>
        <w:rPr>
          <w:rFonts w:hint="eastAsia" w:cs="Times New Roman"/>
          <w:b/>
          <w:bCs/>
          <w:sz w:val="21"/>
          <w:szCs w:val="21"/>
          <w:lang w:val="en-US" w:eastAsia="zh-CN"/>
        </w:rPr>
      </w:pPr>
      <w:r>
        <w:rPr>
          <w:rFonts w:hint="eastAsia" w:cs="Times New Roman"/>
          <w:b/>
          <w:bCs/>
          <w:sz w:val="21"/>
          <w:szCs w:val="21"/>
          <w:lang w:val="en-US" w:eastAsia="zh-CN"/>
        </w:rPr>
        <w:t xml:space="preserve">Proposal 2: An new indication (e.g. </w:t>
      </w:r>
      <w:r>
        <w:rPr>
          <w:rFonts w:hint="eastAsia" w:cs="Times New Roman"/>
          <w:b/>
          <w:bCs/>
          <w:i/>
          <w:iCs/>
          <w:sz w:val="21"/>
          <w:szCs w:val="21"/>
          <w:lang w:val="en-US" w:eastAsia="zh-CN"/>
        </w:rPr>
        <w:t xml:space="preserve">includeQuantities </w:t>
      </w:r>
      <w:r>
        <w:rPr>
          <w:rFonts w:hint="eastAsia" w:cs="Times New Roman"/>
          <w:b/>
          <w:bCs/>
          <w:sz w:val="21"/>
          <w:szCs w:val="21"/>
          <w:lang w:val="en-US" w:eastAsia="zh-CN"/>
        </w:rPr>
        <w:t xml:space="preserve">IE) is introduced in the </w:t>
      </w:r>
      <w:r>
        <w:rPr>
          <w:rFonts w:hint="eastAsia" w:cs="Times New Roman"/>
          <w:b/>
          <w:bCs/>
          <w:i/>
          <w:iCs/>
          <w:sz w:val="21"/>
          <w:szCs w:val="21"/>
          <w:lang w:val="en-US" w:eastAsia="zh-CN"/>
        </w:rPr>
        <w:t xml:space="preserve">ReportConfigNR </w:t>
      </w:r>
      <w:r>
        <w:rPr>
          <w:rFonts w:hint="eastAsia" w:cs="Times New Roman"/>
          <w:b/>
          <w:bCs/>
          <w:sz w:val="21"/>
          <w:szCs w:val="21"/>
          <w:lang w:val="en-US" w:eastAsia="zh-CN"/>
        </w:rPr>
        <w:t xml:space="preserve">to indicate whether the RSRP/RSRQ/SINR measurement result is required to be included in the measurement report triggered by event H1 or H2. </w:t>
      </w:r>
    </w:p>
    <w:p>
      <w:pPr>
        <w:widowControl w:val="0"/>
        <w:numPr>
          <w:ilvl w:val="0"/>
          <w:numId w:val="0"/>
        </w:numPr>
        <w:jc w:val="both"/>
        <w:rPr>
          <w:rFonts w:hint="default" w:cs="Times New Roman"/>
          <w:b/>
          <w:bCs/>
          <w:sz w:val="21"/>
          <w:szCs w:val="21"/>
          <w:lang w:val="en-US" w:eastAsia="zh-CN"/>
        </w:rPr>
      </w:pPr>
      <w:r>
        <w:rPr>
          <w:rFonts w:hint="eastAsia" w:cs="Times New Roman"/>
          <w:b/>
          <w:bCs/>
          <w:sz w:val="21"/>
          <w:szCs w:val="21"/>
          <w:lang w:val="en-US" w:eastAsia="zh-CN"/>
        </w:rPr>
        <w:t>Proposal 3: The indication is introduced by a SEQUENCE structure to separately indicate which quantities results are required in the measurement report.</w:t>
      </w:r>
    </w:p>
    <w:p>
      <w:pPr>
        <w:widowControl w:val="0"/>
        <w:numPr>
          <w:ilvl w:val="0"/>
          <w:numId w:val="0"/>
        </w:numPr>
        <w:jc w:val="both"/>
        <w:rPr>
          <w:rFonts w:hint="default" w:cs="Times New Roman"/>
          <w:b w:val="0"/>
          <w:bCs w:val="0"/>
          <w:sz w:val="21"/>
          <w:szCs w:val="21"/>
          <w:lang w:val="en-US" w:eastAsia="zh-CN"/>
        </w:rPr>
      </w:pPr>
      <w:r>
        <w:rPr>
          <w:rFonts w:hint="eastAsia" w:cs="Times New Roman"/>
          <w:b w:val="0"/>
          <w:bCs w:val="0"/>
          <w:sz w:val="21"/>
          <w:szCs w:val="21"/>
          <w:lang w:val="en-US" w:eastAsia="zh-CN"/>
        </w:rPr>
        <w:t xml:space="preserve">Currently, the NW can configure </w:t>
      </w:r>
      <w:r>
        <w:rPr>
          <w:rFonts w:hint="eastAsia" w:cs="Times New Roman"/>
          <w:b w:val="0"/>
          <w:bCs w:val="0"/>
          <w:i/>
          <w:iCs/>
          <w:sz w:val="21"/>
          <w:szCs w:val="21"/>
          <w:lang w:val="en-US" w:eastAsia="zh-CN"/>
        </w:rPr>
        <w:t xml:space="preserve">includeCommonLocationInfo </w:t>
      </w:r>
      <w:r>
        <w:rPr>
          <w:rFonts w:hint="eastAsia" w:cs="Times New Roman"/>
          <w:b w:val="0"/>
          <w:bCs w:val="0"/>
          <w:sz w:val="21"/>
          <w:szCs w:val="21"/>
          <w:lang w:val="en-US" w:eastAsia="zh-CN"/>
        </w:rPr>
        <w:t xml:space="preserve">IE in </w:t>
      </w:r>
      <w:r>
        <w:rPr>
          <w:rFonts w:hint="eastAsia" w:cs="Times New Roman"/>
          <w:b w:val="0"/>
          <w:bCs w:val="0"/>
          <w:i/>
          <w:iCs/>
          <w:sz w:val="21"/>
          <w:szCs w:val="21"/>
          <w:lang w:val="en-US" w:eastAsia="zh-CN"/>
        </w:rPr>
        <w:t xml:space="preserve">ReportConfigNR </w:t>
      </w:r>
      <w:r>
        <w:rPr>
          <w:rFonts w:hint="eastAsia" w:cs="Times New Roman"/>
          <w:b w:val="0"/>
          <w:bCs w:val="0"/>
          <w:sz w:val="21"/>
          <w:szCs w:val="21"/>
          <w:lang w:val="en-US" w:eastAsia="zh-CN"/>
        </w:rPr>
        <w:t xml:space="preserve">to indicate whether to include the location information in the measurement report. For configuring the content of the measurement report triggered by event H1 or H2, we think the current indication (i.e. </w:t>
      </w:r>
      <w:r>
        <w:rPr>
          <w:rFonts w:hint="eastAsia" w:cs="Times New Roman"/>
          <w:b w:val="0"/>
          <w:bCs w:val="0"/>
          <w:i/>
          <w:iCs/>
          <w:sz w:val="21"/>
          <w:szCs w:val="21"/>
          <w:lang w:val="en-US" w:eastAsia="zh-CN"/>
        </w:rPr>
        <w:t xml:space="preserve">includeCommonLocationInfo </w:t>
      </w:r>
      <w:r>
        <w:rPr>
          <w:rFonts w:hint="eastAsia" w:cs="Times New Roman"/>
          <w:b w:val="0"/>
          <w:bCs w:val="0"/>
          <w:sz w:val="21"/>
          <w:szCs w:val="21"/>
          <w:lang w:val="en-US" w:eastAsia="zh-CN"/>
        </w:rPr>
        <w:t>IE) can be reused.</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bidi w:val="0"/>
              <w:rPr>
                <w:b/>
                <w:bCs/>
                <w:lang w:eastAsia="ja-JP"/>
              </w:rPr>
            </w:pPr>
            <w:bookmarkStart w:id="23" w:name="_Toc124712769"/>
            <w:r>
              <w:rPr>
                <w:rFonts w:hint="eastAsia" w:cs="Times New Roman"/>
                <w:b/>
                <w:bCs/>
                <w:color w:val="0070C0"/>
                <w:sz w:val="21"/>
                <w:szCs w:val="21"/>
                <w:lang w:val="en-US" w:eastAsia="zh-CN"/>
              </w:rPr>
              <w:t>From TS 38.331</w:t>
            </w:r>
          </w:p>
          <w:p>
            <w:pPr>
              <w:pStyle w:val="4"/>
              <w:widowControl/>
              <w:numPr>
                <w:ilvl w:val="2"/>
                <w:numId w:val="0"/>
              </w:numPr>
              <w:pBdr>
                <w:top w:val="none" w:color="auto" w:sz="0" w:space="0"/>
              </w:pBdr>
              <w:tabs>
                <w:tab w:val="left" w:pos="575"/>
              </w:tabs>
              <w:spacing w:before="120" w:after="180" w:line="240" w:lineRule="auto"/>
              <w:ind w:leftChars="0"/>
              <w:jc w:val="left"/>
              <w:rPr>
                <w:rFonts w:eastAsia="Times New Roman" w:cs="Times New Roman"/>
                <w:b w:val="0"/>
                <w:bCs w:val="0"/>
                <w:kern w:val="0"/>
                <w:sz w:val="28"/>
                <w:szCs w:val="20"/>
                <w:lang w:eastAsia="ja-JP" w:bidi="ar-SA"/>
              </w:rPr>
            </w:pPr>
            <w:r>
              <w:rPr>
                <w:rFonts w:eastAsia="Times New Roman" w:cs="Times New Roman"/>
                <w:b w:val="0"/>
                <w:bCs w:val="0"/>
                <w:kern w:val="0"/>
                <w:sz w:val="28"/>
                <w:szCs w:val="20"/>
                <w:lang w:eastAsia="ja-JP" w:bidi="ar-SA"/>
              </w:rPr>
              <w:t>5.5.5</w:t>
            </w:r>
            <w:r>
              <w:rPr>
                <w:rFonts w:eastAsia="Times New Roman" w:cs="Times New Roman"/>
                <w:b w:val="0"/>
                <w:bCs w:val="0"/>
                <w:kern w:val="0"/>
                <w:sz w:val="28"/>
                <w:szCs w:val="20"/>
                <w:lang w:eastAsia="ja-JP" w:bidi="ar-SA"/>
              </w:rPr>
              <w:tab/>
            </w:r>
            <w:r>
              <w:rPr>
                <w:rFonts w:eastAsia="Times New Roman" w:cs="Times New Roman"/>
                <w:b w:val="0"/>
                <w:bCs w:val="0"/>
                <w:kern w:val="0"/>
                <w:sz w:val="28"/>
                <w:szCs w:val="20"/>
                <w:lang w:eastAsia="ja-JP" w:bidi="ar-SA"/>
              </w:rPr>
              <w:t>Measurement reporting</w:t>
            </w:r>
            <w:bookmarkEnd w:id="23"/>
          </w:p>
          <w:p>
            <w:pPr>
              <w:pStyle w:val="5"/>
              <w:widowControl/>
              <w:numPr>
                <w:ilvl w:val="2"/>
                <w:numId w:val="0"/>
              </w:numPr>
              <w:pBdr>
                <w:top w:val="none" w:color="auto" w:sz="0" w:space="0"/>
              </w:pBdr>
              <w:tabs>
                <w:tab w:val="left" w:pos="575"/>
                <w:tab w:val="clear" w:pos="864"/>
                <w:tab w:val="clear" w:pos="2071"/>
              </w:tabs>
              <w:spacing w:before="120" w:after="180" w:line="240" w:lineRule="auto"/>
              <w:ind w:leftChars="0"/>
              <w:jc w:val="left"/>
              <w:rPr>
                <w:rFonts w:eastAsia="Times New Roman" w:cs="Times New Roman"/>
                <w:b w:val="0"/>
                <w:bCs w:val="0"/>
                <w:kern w:val="0"/>
                <w:sz w:val="24"/>
                <w:szCs w:val="20"/>
                <w:lang w:eastAsia="ja-JP" w:bidi="ar-SA"/>
              </w:rPr>
            </w:pPr>
            <w:bookmarkStart w:id="24" w:name="_Toc124712770"/>
            <w:bookmarkStart w:id="25" w:name="_Toc60776901"/>
            <w:r>
              <w:rPr>
                <w:rFonts w:eastAsia="Times New Roman" w:cs="Times New Roman"/>
                <w:b w:val="0"/>
                <w:bCs w:val="0"/>
                <w:kern w:val="0"/>
                <w:sz w:val="24"/>
                <w:szCs w:val="20"/>
                <w:lang w:eastAsia="ja-JP" w:bidi="ar-SA"/>
              </w:rPr>
              <w:t>5.5.5.1</w:t>
            </w:r>
            <w:r>
              <w:rPr>
                <w:rFonts w:eastAsia="Times New Roman" w:cs="Times New Roman"/>
                <w:b w:val="0"/>
                <w:bCs w:val="0"/>
                <w:kern w:val="0"/>
                <w:sz w:val="24"/>
                <w:szCs w:val="20"/>
                <w:lang w:eastAsia="ja-JP" w:bidi="ar-SA"/>
              </w:rPr>
              <w:tab/>
            </w:r>
            <w:r>
              <w:rPr>
                <w:rFonts w:eastAsia="Times New Roman" w:cs="Times New Roman"/>
                <w:b w:val="0"/>
                <w:bCs w:val="0"/>
                <w:kern w:val="0"/>
                <w:sz w:val="24"/>
                <w:szCs w:val="20"/>
                <w:lang w:eastAsia="ja-JP" w:bidi="ar-SA"/>
              </w:rPr>
              <w:t>General</w:t>
            </w:r>
            <w:bookmarkEnd w:id="24"/>
            <w:bookmarkEnd w:id="25"/>
          </w:p>
          <w:p>
            <w:pPr>
              <w:pStyle w:val="94"/>
            </w:pPr>
            <w:r>
              <w:t>1&gt;</w:t>
            </w:r>
            <w:r>
              <w:tab/>
            </w:r>
            <w:r>
              <w:t xml:space="preserve">if the </w:t>
            </w:r>
            <w:r>
              <w:rPr>
                <w:i/>
                <w:iCs/>
                <w:highlight w:val="yellow"/>
              </w:rPr>
              <w:t>includeCommonLocationInfo</w:t>
            </w:r>
            <w:r>
              <w:rPr>
                <w:i/>
                <w:iCs/>
              </w:rPr>
              <w:t xml:space="preserve"> </w:t>
            </w:r>
            <w:r>
              <w:t xml:space="preserve">is configured in the corresponding </w:t>
            </w:r>
            <w:r>
              <w:rPr>
                <w:i/>
                <w:iCs/>
              </w:rPr>
              <w:t>reportConfig</w:t>
            </w:r>
            <w:r>
              <w:t xml:space="preserve"> for this </w:t>
            </w:r>
            <w:r>
              <w:rPr>
                <w:i/>
                <w:iCs/>
              </w:rPr>
              <w:t>measId</w:t>
            </w:r>
            <w:r>
              <w:t xml:space="preserve"> and detailed location information that has not been reported is available, set the content of </w:t>
            </w:r>
            <w:r>
              <w:rPr>
                <w:i/>
              </w:rPr>
              <w:t>commonLocationInfo</w:t>
            </w:r>
            <w:r>
              <w:t xml:space="preserve"> of the </w:t>
            </w:r>
            <w:r>
              <w:rPr>
                <w:i/>
              </w:rPr>
              <w:t xml:space="preserve">locationInfo </w:t>
            </w:r>
            <w:r>
              <w:t>as follows:</w:t>
            </w:r>
          </w:p>
          <w:p>
            <w:pPr>
              <w:pStyle w:val="106"/>
            </w:pPr>
            <w:r>
              <w:t>2&gt;</w:t>
            </w:r>
            <w:r>
              <w:tab/>
            </w:r>
            <w:r>
              <w:t xml:space="preserve">include the </w:t>
            </w:r>
            <w:r>
              <w:rPr>
                <w:i/>
              </w:rPr>
              <w:t>locationTimestamp</w:t>
            </w:r>
            <w:r>
              <w:t>;</w:t>
            </w:r>
          </w:p>
          <w:p>
            <w:pPr>
              <w:pStyle w:val="106"/>
            </w:pPr>
            <w:r>
              <w:t>2&gt;</w:t>
            </w:r>
            <w:r>
              <w:tab/>
            </w:r>
            <w:r>
              <w:t xml:space="preserve">include the </w:t>
            </w:r>
            <w:r>
              <w:rPr>
                <w:i/>
                <w:iCs/>
              </w:rPr>
              <w:t>locationCoordinate</w:t>
            </w:r>
            <w:r>
              <w:t>, if available;</w:t>
            </w:r>
          </w:p>
          <w:p>
            <w:pPr>
              <w:pStyle w:val="106"/>
            </w:pPr>
            <w:r>
              <w:t>2&gt;</w:t>
            </w:r>
            <w:r>
              <w:tab/>
            </w:r>
            <w:r>
              <w:t xml:space="preserve">include the </w:t>
            </w:r>
            <w:r>
              <w:rPr>
                <w:i/>
                <w:iCs/>
              </w:rPr>
              <w:t>velocityEstimate</w:t>
            </w:r>
            <w:r>
              <w:t>, if available;</w:t>
            </w:r>
          </w:p>
          <w:p>
            <w:pPr>
              <w:pStyle w:val="106"/>
            </w:pPr>
            <w:r>
              <w:t>2&gt;</w:t>
            </w:r>
            <w:r>
              <w:tab/>
            </w:r>
            <w:r>
              <w:t xml:space="preserve">include the </w:t>
            </w:r>
            <w:r>
              <w:rPr>
                <w:i/>
                <w:iCs/>
              </w:rPr>
              <w:t>locationError</w:t>
            </w:r>
            <w:r>
              <w:t>, if available;</w:t>
            </w:r>
          </w:p>
          <w:p>
            <w:pPr>
              <w:pStyle w:val="106"/>
            </w:pPr>
            <w:r>
              <w:t>2&gt;</w:t>
            </w:r>
            <w:r>
              <w:tab/>
            </w:r>
            <w:r>
              <w:t xml:space="preserve">include the </w:t>
            </w:r>
            <w:r>
              <w:rPr>
                <w:i/>
                <w:iCs/>
              </w:rPr>
              <w:t>locationSource</w:t>
            </w:r>
            <w:r>
              <w:t>, if available;</w:t>
            </w:r>
          </w:p>
          <w:p>
            <w:pPr>
              <w:pStyle w:val="106"/>
              <w:rPr>
                <w:rFonts w:hint="default" w:cs="Times New Roman"/>
                <w:b w:val="0"/>
                <w:bCs w:val="0"/>
                <w:sz w:val="21"/>
                <w:szCs w:val="21"/>
                <w:vertAlign w:val="baseline"/>
                <w:lang w:val="en-US" w:eastAsia="zh-CN"/>
              </w:rPr>
            </w:pPr>
            <w:r>
              <w:t>2&gt;</w:t>
            </w:r>
            <w:r>
              <w:tab/>
            </w:r>
            <w:r>
              <w:t xml:space="preserve">if available, include the </w:t>
            </w:r>
            <w:r>
              <w:rPr>
                <w:i/>
                <w:iCs/>
              </w:rPr>
              <w:t>gnss-TOD-msec</w:t>
            </w:r>
            <w:r>
              <w:t>,</w:t>
            </w:r>
          </w:p>
        </w:tc>
      </w:tr>
    </w:tbl>
    <w:p>
      <w:pPr>
        <w:widowControl/>
        <w:overflowPunct w:val="0"/>
        <w:autoSpaceDE w:val="0"/>
        <w:autoSpaceDN w:val="0"/>
        <w:adjustRightInd w:val="0"/>
        <w:spacing w:after="180" w:line="240" w:lineRule="auto"/>
        <w:jc w:val="left"/>
        <w:textAlignment w:val="baseline"/>
        <w:rPr>
          <w:rFonts w:hint="default" w:ascii="Times New Roman" w:hAnsi="Times New Roman" w:eastAsia="Times New Roman" w:cs="Times New Roman"/>
          <w:kern w:val="0"/>
          <w:sz w:val="20"/>
          <w:szCs w:val="20"/>
          <w:lang w:val="en-US" w:eastAsia="ja-JP"/>
        </w:rPr>
      </w:pPr>
      <w:r>
        <w:rPr>
          <w:rFonts w:hint="eastAsia" w:cs="Times New Roman"/>
          <w:b w:val="0"/>
          <w:bCs w:val="0"/>
          <w:sz w:val="21"/>
          <w:szCs w:val="21"/>
          <w:lang w:val="en-US" w:eastAsia="zh-CN"/>
        </w:rPr>
        <w:t>The p</w:t>
      </w:r>
      <w:r>
        <w:rPr>
          <w:rFonts w:hint="default" w:cs="Times New Roman"/>
          <w:b w:val="0"/>
          <w:bCs w:val="0"/>
          <w:sz w:val="21"/>
          <w:szCs w:val="21"/>
          <w:lang w:val="en-US" w:eastAsia="zh-CN"/>
        </w:rPr>
        <w:t xml:space="preserve">arameters from </w:t>
      </w:r>
      <w:r>
        <w:rPr>
          <w:rFonts w:hint="default" w:cs="Times New Roman"/>
          <w:b w:val="0"/>
          <w:bCs w:val="0"/>
          <w:i/>
          <w:iCs/>
          <w:sz w:val="21"/>
          <w:szCs w:val="21"/>
          <w:lang w:val="en-US" w:eastAsia="zh-CN"/>
        </w:rPr>
        <w:t>CommonLocationInfo</w:t>
      </w:r>
      <w:r>
        <w:rPr>
          <w:rFonts w:hint="eastAsia" w:cs="Times New Roman"/>
          <w:b w:val="0"/>
          <w:bCs w:val="0"/>
          <w:i/>
          <w:iCs/>
          <w:sz w:val="21"/>
          <w:szCs w:val="21"/>
          <w:lang w:val="en-US" w:eastAsia="zh-CN"/>
        </w:rPr>
        <w:t xml:space="preserve"> </w:t>
      </w:r>
      <w:r>
        <w:rPr>
          <w:rFonts w:hint="eastAsia" w:cs="Times New Roman"/>
          <w:b w:val="0"/>
          <w:bCs w:val="0"/>
          <w:sz w:val="21"/>
          <w:szCs w:val="21"/>
          <w:lang w:val="en-US" w:eastAsia="zh-CN"/>
        </w:rPr>
        <w:t xml:space="preserve">are related to location info, location time and velocity info, which could be useful for UAV UE. So it is preferred to reuse the current parameters </w:t>
      </w:r>
      <w:r>
        <w:rPr>
          <w:rFonts w:hint="default" w:cs="Times New Roman"/>
          <w:b w:val="0"/>
          <w:bCs w:val="0"/>
          <w:sz w:val="21"/>
          <w:szCs w:val="21"/>
          <w:lang w:val="en-US" w:eastAsia="zh-CN"/>
        </w:rPr>
        <w:t xml:space="preserve">from </w:t>
      </w:r>
      <w:r>
        <w:rPr>
          <w:rFonts w:hint="default" w:cs="Times New Roman"/>
          <w:b w:val="0"/>
          <w:bCs w:val="0"/>
          <w:i/>
          <w:iCs/>
          <w:sz w:val="21"/>
          <w:szCs w:val="21"/>
          <w:lang w:val="en-US" w:eastAsia="zh-CN"/>
        </w:rPr>
        <w:t>CommonLocationInfo</w:t>
      </w:r>
      <w:r>
        <w:rPr>
          <w:rFonts w:hint="eastAsia" w:cs="Times New Roman"/>
          <w:b w:val="0"/>
          <w:bCs w:val="0"/>
          <w:i/>
          <w:iCs/>
          <w:sz w:val="21"/>
          <w:szCs w:val="21"/>
          <w:lang w:val="en-US" w:eastAsia="zh-CN"/>
        </w:rPr>
        <w:t xml:space="preserve"> </w:t>
      </w:r>
      <w:r>
        <w:rPr>
          <w:rFonts w:hint="eastAsia" w:cs="Times New Roman"/>
          <w:b w:val="0"/>
          <w:bCs w:val="0"/>
          <w:sz w:val="21"/>
          <w:szCs w:val="21"/>
          <w:lang w:val="en-US" w:eastAsia="zh-CN"/>
        </w:rPr>
        <w:t>for location info of UAV UE for simplicity. If any other parameters are required for UAV UE</w:t>
      </w:r>
      <w:r>
        <w:rPr>
          <w:rFonts w:hint="default" w:cs="Times New Roman"/>
          <w:b w:val="0"/>
          <w:bCs w:val="0"/>
          <w:sz w:val="21"/>
          <w:szCs w:val="21"/>
          <w:lang w:val="en-US" w:eastAsia="zh-CN"/>
        </w:rPr>
        <w:t>’</w:t>
      </w:r>
      <w:r>
        <w:rPr>
          <w:rFonts w:hint="eastAsia" w:cs="Times New Roman"/>
          <w:b w:val="0"/>
          <w:bCs w:val="0"/>
          <w:sz w:val="21"/>
          <w:szCs w:val="21"/>
          <w:lang w:val="en-US" w:eastAsia="zh-CN"/>
        </w:rPr>
        <w:t>s location reporting, the requirement should be firstly evaluated on SA2. And then we can consider the signaling design at RAN2.</w:t>
      </w:r>
    </w:p>
    <w:p>
      <w:pPr>
        <w:widowControl w:val="0"/>
        <w:numPr>
          <w:ilvl w:val="0"/>
          <w:numId w:val="0"/>
        </w:numPr>
        <w:jc w:val="both"/>
        <w:rPr>
          <w:rFonts w:hint="default" w:cs="Times New Roman"/>
          <w:b/>
          <w:bCs/>
          <w:sz w:val="21"/>
          <w:szCs w:val="21"/>
          <w:lang w:val="en-US" w:eastAsia="zh-CN"/>
        </w:rPr>
      </w:pPr>
      <w:r>
        <w:rPr>
          <w:rFonts w:hint="eastAsia" w:cs="Times New Roman"/>
          <w:b/>
          <w:bCs/>
          <w:sz w:val="21"/>
          <w:szCs w:val="21"/>
          <w:lang w:val="en-US" w:eastAsia="zh-CN"/>
        </w:rPr>
        <w:t xml:space="preserve">Proposal 4: The </w:t>
      </w:r>
      <w:r>
        <w:rPr>
          <w:rFonts w:hint="eastAsia" w:cs="Times New Roman"/>
          <w:b/>
          <w:bCs/>
          <w:i/>
          <w:iCs/>
          <w:sz w:val="21"/>
          <w:szCs w:val="21"/>
          <w:lang w:val="en-US" w:eastAsia="zh-CN"/>
        </w:rPr>
        <w:t xml:space="preserve">includeCommonLocationInfo </w:t>
      </w:r>
      <w:r>
        <w:rPr>
          <w:rFonts w:hint="eastAsia" w:cs="Times New Roman"/>
          <w:b/>
          <w:bCs/>
          <w:sz w:val="21"/>
          <w:szCs w:val="21"/>
          <w:lang w:val="en-US" w:eastAsia="zh-CN"/>
        </w:rPr>
        <w:t xml:space="preserve">IE in the </w:t>
      </w:r>
      <w:r>
        <w:rPr>
          <w:rFonts w:hint="eastAsia" w:cs="Times New Roman"/>
          <w:b/>
          <w:bCs/>
          <w:i/>
          <w:iCs/>
          <w:sz w:val="21"/>
          <w:szCs w:val="21"/>
          <w:lang w:val="en-US" w:eastAsia="zh-CN"/>
        </w:rPr>
        <w:t xml:space="preserve">ReportConfigNR </w:t>
      </w:r>
      <w:r>
        <w:rPr>
          <w:rFonts w:hint="eastAsia" w:cs="Times New Roman"/>
          <w:b/>
          <w:bCs/>
          <w:sz w:val="21"/>
          <w:szCs w:val="21"/>
          <w:lang w:val="en-US" w:eastAsia="zh-CN"/>
        </w:rPr>
        <w:t>is reused to indicate whether the location information (if available) is required to be included in the measurement report triggered by event H1 or H2.</w:t>
      </w:r>
    </w:p>
    <w:p>
      <w:pPr>
        <w:widowControl w:val="0"/>
        <w:numPr>
          <w:ilvl w:val="0"/>
          <w:numId w:val="0"/>
        </w:numPr>
        <w:jc w:val="both"/>
        <w:rPr>
          <w:rFonts w:hint="eastAsia" w:cs="Times New Roman"/>
          <w:b w:val="0"/>
          <w:bCs w:val="0"/>
          <w:sz w:val="21"/>
          <w:szCs w:val="21"/>
          <w:lang w:val="en-US" w:eastAsia="zh-CN"/>
        </w:rPr>
      </w:pPr>
      <w:r>
        <w:rPr>
          <w:rFonts w:hint="eastAsia" w:cs="Times New Roman"/>
          <w:b/>
          <w:bCs/>
          <w:sz w:val="21"/>
          <w:szCs w:val="21"/>
          <w:lang w:val="en-US" w:eastAsia="zh-CN"/>
        </w:rPr>
        <w:t xml:space="preserve">Proposal 5: The parameters in the </w:t>
      </w:r>
      <w:r>
        <w:rPr>
          <w:rFonts w:hint="eastAsia" w:cs="Times New Roman"/>
          <w:b/>
          <w:bCs/>
          <w:i/>
          <w:iCs/>
          <w:sz w:val="21"/>
          <w:szCs w:val="21"/>
          <w:lang w:val="en-US" w:eastAsia="zh-CN"/>
        </w:rPr>
        <w:t xml:space="preserve">CommonLocationInfo </w:t>
      </w:r>
      <w:r>
        <w:rPr>
          <w:rFonts w:hint="eastAsia" w:cs="Times New Roman"/>
          <w:b/>
          <w:bCs/>
          <w:sz w:val="21"/>
          <w:szCs w:val="21"/>
          <w:lang w:val="en-US" w:eastAsia="zh-CN"/>
        </w:rPr>
        <w:t>IE are reused for UAV UEs</w:t>
      </w:r>
      <w:r>
        <w:rPr>
          <w:rFonts w:hint="default" w:cs="Times New Roman"/>
          <w:b/>
          <w:bCs/>
          <w:sz w:val="21"/>
          <w:szCs w:val="21"/>
          <w:lang w:val="en-US" w:eastAsia="zh-CN"/>
        </w:rPr>
        <w:t>’</w:t>
      </w:r>
      <w:r>
        <w:rPr>
          <w:rFonts w:hint="eastAsia" w:cs="Times New Roman"/>
          <w:b/>
          <w:bCs/>
          <w:sz w:val="21"/>
          <w:szCs w:val="21"/>
          <w:lang w:val="en-US" w:eastAsia="zh-CN"/>
        </w:rPr>
        <w:t xml:space="preserve"> location reporting.</w:t>
      </w:r>
    </w:p>
    <w:p>
      <w:pPr>
        <w:widowControl w:val="0"/>
        <w:numPr>
          <w:ilvl w:val="0"/>
          <w:numId w:val="0"/>
        </w:numPr>
        <w:jc w:val="both"/>
        <w:rPr>
          <w:rFonts w:hint="eastAsia" w:cs="Times New Roman"/>
          <w:b/>
          <w:bCs/>
          <w:i/>
          <w:iCs/>
          <w:sz w:val="21"/>
          <w:szCs w:val="21"/>
          <w:u w:val="single"/>
          <w:lang w:val="en-US" w:eastAsia="zh-CN"/>
        </w:rPr>
      </w:pPr>
    </w:p>
    <w:p>
      <w:pPr>
        <w:widowControl w:val="0"/>
        <w:numPr>
          <w:ilvl w:val="0"/>
          <w:numId w:val="0"/>
        </w:numPr>
        <w:jc w:val="both"/>
        <w:rPr>
          <w:rFonts w:hint="eastAsia" w:cs="Times New Roman"/>
          <w:b/>
          <w:bCs/>
          <w:i/>
          <w:iCs/>
          <w:sz w:val="21"/>
          <w:szCs w:val="21"/>
          <w:u w:val="single"/>
          <w:lang w:val="en-US" w:eastAsia="zh-CN"/>
        </w:rPr>
      </w:pPr>
      <w:r>
        <w:rPr>
          <w:rFonts w:hint="eastAsia" w:cs="Times New Roman"/>
          <w:b/>
          <w:bCs/>
          <w:i/>
          <w:iCs/>
          <w:sz w:val="21"/>
          <w:szCs w:val="21"/>
          <w:u w:val="single"/>
          <w:lang w:val="en-US" w:eastAsia="zh-CN"/>
        </w:rPr>
        <w:t>Issue 2: On events combination</w:t>
      </w:r>
    </w:p>
    <w:p>
      <w:pPr>
        <w:widowControl w:val="0"/>
        <w:numPr>
          <w:ilvl w:val="0"/>
          <w:numId w:val="0"/>
        </w:numPr>
        <w:jc w:val="both"/>
        <w:rPr>
          <w:rFonts w:hint="default" w:cs="Times New Roman"/>
          <w:b w:val="0"/>
          <w:bCs w:val="0"/>
          <w:i w:val="0"/>
          <w:iCs w:val="0"/>
          <w:sz w:val="21"/>
          <w:szCs w:val="21"/>
          <w:u w:val="none"/>
          <w:lang w:val="en-US" w:eastAsia="zh-CN"/>
        </w:rPr>
      </w:pPr>
      <w:r>
        <w:rPr>
          <w:rFonts w:hint="eastAsia" w:cs="Times New Roman"/>
          <w:b w:val="0"/>
          <w:bCs w:val="0"/>
          <w:i w:val="0"/>
          <w:iCs w:val="0"/>
          <w:sz w:val="21"/>
          <w:szCs w:val="21"/>
          <w:u w:val="none"/>
          <w:lang w:val="en-US" w:eastAsia="zh-CN"/>
        </w:rPr>
        <w:t>In the email discussion, most companies had interest to use combination of different events/conditions for measurement report triggering.</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widowControl w:val="0"/>
              <w:numPr>
                <w:ilvl w:val="0"/>
                <w:numId w:val="0"/>
              </w:numPr>
              <w:jc w:val="both"/>
              <w:rPr>
                <w:rFonts w:hint="default" w:cs="Times New Roman"/>
                <w:b/>
                <w:bCs/>
                <w:sz w:val="21"/>
                <w:szCs w:val="21"/>
                <w:vertAlign w:val="baseline"/>
                <w:lang w:val="en-US" w:eastAsia="zh-CN"/>
              </w:rPr>
            </w:pPr>
            <w:r>
              <w:rPr>
                <w:rFonts w:hint="default" w:cs="Times New Roman"/>
                <w:b/>
                <w:bCs/>
                <w:sz w:val="21"/>
                <w:szCs w:val="21"/>
                <w:vertAlign w:val="baseline"/>
                <w:lang w:val="en-US" w:eastAsia="zh-CN"/>
              </w:rPr>
              <w:t>Proposal 2: Joint use of height-dependent condition and RSRP/RSRQ/SINR-based condition for measurement report triggering is supported in NR Rel-18 UAV. FFS the details (e.g. whether new event or the combination of existing events is used).</w:t>
            </w:r>
          </w:p>
        </w:tc>
      </w:tr>
    </w:tbl>
    <w:p>
      <w:pPr>
        <w:widowControl w:val="0"/>
        <w:numPr>
          <w:ilvl w:val="0"/>
          <w:numId w:val="0"/>
        </w:numPr>
        <w:jc w:val="both"/>
        <w:rPr>
          <w:rFonts w:hint="eastAsia" w:cs="Times New Roman"/>
          <w:b w:val="0"/>
          <w:bCs w:val="0"/>
          <w:sz w:val="21"/>
          <w:szCs w:val="21"/>
          <w:lang w:val="en-US" w:eastAsia="zh-CN"/>
        </w:rPr>
      </w:pPr>
      <w:r>
        <w:rPr>
          <w:rFonts w:hint="eastAsia" w:cs="Times New Roman"/>
          <w:b w:val="0"/>
          <w:bCs w:val="0"/>
          <w:sz w:val="21"/>
          <w:szCs w:val="21"/>
          <w:lang w:val="en-US" w:eastAsia="zh-CN"/>
        </w:rPr>
        <w:t>Regarding how to combine height-dependent condition and RSRP/RSRQ/SINR-based condition, there are several options can be considered:</w:t>
      </w:r>
    </w:p>
    <w:p>
      <w:pPr>
        <w:widowControl w:val="0"/>
        <w:numPr>
          <w:ilvl w:val="0"/>
          <w:numId w:val="4"/>
        </w:numPr>
        <w:ind w:left="420" w:leftChars="0" w:hanging="420" w:firstLineChars="0"/>
        <w:jc w:val="both"/>
        <w:rPr>
          <w:rFonts w:hint="eastAsia" w:cs="Times New Roman"/>
          <w:b w:val="0"/>
          <w:bCs w:val="0"/>
          <w:sz w:val="21"/>
          <w:szCs w:val="21"/>
          <w:lang w:val="en-US" w:eastAsia="zh-CN"/>
        </w:rPr>
      </w:pPr>
      <w:r>
        <w:rPr>
          <w:rFonts w:hint="eastAsia" w:cs="Times New Roman"/>
          <w:b w:val="0"/>
          <w:bCs w:val="0"/>
          <w:sz w:val="21"/>
          <w:szCs w:val="21"/>
          <w:lang w:val="en-US" w:eastAsia="zh-CN"/>
        </w:rPr>
        <w:t>Option 1: define new event(s) to include height-dependent condition and RSRP/RSRQ/SINR-based condition</w:t>
      </w:r>
    </w:p>
    <w:p>
      <w:pPr>
        <w:widowControl w:val="0"/>
        <w:numPr>
          <w:ilvl w:val="0"/>
          <w:numId w:val="4"/>
        </w:numPr>
        <w:ind w:left="420" w:leftChars="0" w:hanging="420" w:firstLineChars="0"/>
        <w:jc w:val="both"/>
        <w:rPr>
          <w:rFonts w:hint="default" w:cs="Times New Roman"/>
          <w:b w:val="0"/>
          <w:bCs w:val="0"/>
          <w:sz w:val="21"/>
          <w:szCs w:val="21"/>
          <w:lang w:val="en-US" w:eastAsia="zh-CN"/>
        </w:rPr>
      </w:pPr>
      <w:r>
        <w:rPr>
          <w:rFonts w:hint="eastAsia" w:cs="Times New Roman"/>
          <w:b w:val="0"/>
          <w:bCs w:val="0"/>
          <w:sz w:val="21"/>
          <w:szCs w:val="21"/>
          <w:lang w:val="en-US" w:eastAsia="zh-CN"/>
        </w:rPr>
        <w:t>Option 2: combine existing event H1 or H2 with event Ax</w:t>
      </w:r>
    </w:p>
    <w:p>
      <w:pPr>
        <w:widowControl w:val="0"/>
        <w:numPr>
          <w:ilvl w:val="0"/>
          <w:numId w:val="5"/>
        </w:numPr>
        <w:ind w:left="840" w:leftChars="0" w:hanging="420" w:firstLineChars="0"/>
        <w:jc w:val="both"/>
        <w:rPr>
          <w:rFonts w:hint="default" w:cs="Times New Roman"/>
          <w:b w:val="0"/>
          <w:bCs w:val="0"/>
          <w:sz w:val="21"/>
          <w:szCs w:val="21"/>
          <w:lang w:val="en-US" w:eastAsia="zh-CN"/>
        </w:rPr>
      </w:pPr>
      <w:r>
        <w:rPr>
          <w:rFonts w:hint="eastAsia" w:cs="Times New Roman"/>
          <w:b w:val="0"/>
          <w:bCs w:val="0"/>
          <w:sz w:val="21"/>
          <w:szCs w:val="21"/>
          <w:lang w:val="en-US" w:eastAsia="zh-CN"/>
        </w:rPr>
        <w:t>Option 2a: one measurement ID to link with one measurement object with two report configuration (i.e. one report configuration for event H1/2, the other one for event Ax)</w:t>
      </w:r>
    </w:p>
    <w:p>
      <w:pPr>
        <w:widowControl w:val="0"/>
        <w:numPr>
          <w:ilvl w:val="0"/>
          <w:numId w:val="5"/>
        </w:numPr>
        <w:ind w:left="840" w:leftChars="0" w:hanging="420" w:firstLineChars="0"/>
        <w:jc w:val="both"/>
        <w:rPr>
          <w:rFonts w:hint="default" w:cs="Times New Roman"/>
          <w:b w:val="0"/>
          <w:bCs w:val="0"/>
          <w:sz w:val="21"/>
          <w:szCs w:val="21"/>
          <w:highlight w:val="none"/>
          <w:lang w:val="en-US" w:eastAsia="zh-CN"/>
        </w:rPr>
      </w:pPr>
      <w:r>
        <w:rPr>
          <w:rFonts w:hint="eastAsia" w:cs="Times New Roman"/>
          <w:b w:val="0"/>
          <w:bCs w:val="0"/>
          <w:sz w:val="21"/>
          <w:szCs w:val="21"/>
          <w:highlight w:val="none"/>
          <w:lang w:val="en-US" w:eastAsia="zh-CN"/>
        </w:rPr>
        <w:t xml:space="preserve">Option 2b: combination of two measurement IDs </w:t>
      </w:r>
      <w:r>
        <w:rPr>
          <w:rFonts w:hint="eastAsia" w:cs="Times New Roman"/>
          <w:b w:val="0"/>
          <w:bCs w:val="0"/>
          <w:sz w:val="21"/>
          <w:szCs w:val="21"/>
          <w:lang w:val="en-US" w:eastAsia="zh-CN"/>
        </w:rPr>
        <w:t>(i.e. one measId for event H1/2, the other measId for event Ax)</w:t>
      </w:r>
    </w:p>
    <w:p>
      <w:pPr>
        <w:widowControl w:val="0"/>
        <w:numPr>
          <w:ilvl w:val="0"/>
          <w:numId w:val="0"/>
        </w:numPr>
        <w:ind w:leftChars="0"/>
        <w:jc w:val="both"/>
        <w:rPr>
          <w:rFonts w:hint="eastAsia" w:cs="Times New Roman"/>
          <w:b w:val="0"/>
          <w:bCs w:val="0"/>
          <w:sz w:val="21"/>
          <w:szCs w:val="21"/>
          <w:lang w:val="en-US" w:eastAsia="zh-CN"/>
        </w:rPr>
      </w:pPr>
      <w:r>
        <w:rPr>
          <w:rFonts w:hint="eastAsia" w:cs="Times New Roman"/>
          <w:b w:val="0"/>
          <w:bCs w:val="0"/>
          <w:sz w:val="21"/>
          <w:szCs w:val="21"/>
          <w:lang w:val="en-US" w:eastAsia="zh-CN"/>
        </w:rPr>
        <w:t xml:space="preserve">For option 1, considering that there are multiple possible combinations of each event H and each event A, multiple new events need to be specified, which shall cause large spec work. For option 2a, it shall break the current restriction on measurement ID that each measurement identity links one measurement object with one reporting configuration. </w:t>
      </w:r>
    </w:p>
    <w:p>
      <w:pPr>
        <w:widowControl w:val="0"/>
        <w:numPr>
          <w:ilvl w:val="0"/>
          <w:numId w:val="0"/>
        </w:numPr>
        <w:ind w:leftChars="0"/>
        <w:jc w:val="both"/>
        <w:rPr>
          <w:rFonts w:hint="eastAsia" w:cs="Times New Roman"/>
          <w:b w:val="0"/>
          <w:bCs w:val="0"/>
          <w:sz w:val="21"/>
          <w:szCs w:val="21"/>
          <w:lang w:val="en-US" w:eastAsia="zh-CN"/>
        </w:rPr>
      </w:pPr>
      <w:r>
        <w:rPr>
          <w:rFonts w:hint="eastAsia" w:cs="Times New Roman"/>
          <w:b w:val="0"/>
          <w:bCs w:val="0"/>
          <w:sz w:val="21"/>
          <w:szCs w:val="21"/>
          <w:lang w:val="en-US" w:eastAsia="zh-CN"/>
        </w:rPr>
        <w:t xml:space="preserve">The option 2b is aligned with the solution that has been used in the conditional reconfiguration triggering events combination. In conditional reconfiguration (e.g. CHO, CPAC), an execution condition may include two </w:t>
      </w:r>
      <w:r>
        <w:rPr>
          <w:rFonts w:hint="eastAsia" w:cs="Times New Roman"/>
          <w:b w:val="0"/>
          <w:bCs w:val="0"/>
          <w:i/>
          <w:iCs/>
          <w:sz w:val="21"/>
          <w:szCs w:val="21"/>
          <w:lang w:val="en-US" w:eastAsia="zh-CN"/>
        </w:rPr>
        <w:t>measIds</w:t>
      </w:r>
      <w:r>
        <w:rPr>
          <w:rFonts w:hint="eastAsia" w:cs="Times New Roman"/>
          <w:b w:val="0"/>
          <w:bCs w:val="0"/>
          <w:sz w:val="21"/>
          <w:szCs w:val="21"/>
          <w:lang w:val="en-US" w:eastAsia="zh-CN"/>
        </w:rPr>
        <w:t xml:space="preserve"> for two triggering conditions. The UE shall initiate the execution condition evaluation only when event(s) associated to all </w:t>
      </w:r>
      <w:r>
        <w:rPr>
          <w:rFonts w:hint="eastAsia" w:cs="Times New Roman"/>
          <w:b w:val="0"/>
          <w:bCs w:val="0"/>
          <w:i/>
          <w:iCs/>
          <w:sz w:val="21"/>
          <w:szCs w:val="21"/>
          <w:lang w:val="en-US" w:eastAsia="zh-CN"/>
        </w:rPr>
        <w:t>measId(s)</w:t>
      </w:r>
      <w:r>
        <w:rPr>
          <w:rFonts w:hint="eastAsia" w:cs="Times New Roman"/>
          <w:b w:val="0"/>
          <w:bCs w:val="0"/>
          <w:sz w:val="21"/>
          <w:szCs w:val="21"/>
          <w:lang w:val="en-US" w:eastAsia="zh-CN"/>
        </w:rPr>
        <w:t xml:space="preserve"> for the candidate cell are fulfilled. </w:t>
      </w:r>
    </w:p>
    <w:p>
      <w:pPr>
        <w:widowControl w:val="0"/>
        <w:numPr>
          <w:ilvl w:val="0"/>
          <w:numId w:val="0"/>
        </w:numPr>
        <w:ind w:leftChars="0"/>
        <w:jc w:val="both"/>
        <w:rPr>
          <w:rFonts w:hint="default" w:cs="Times New Roman"/>
          <w:b w:val="0"/>
          <w:bCs w:val="0"/>
          <w:i/>
          <w:iCs/>
          <w:sz w:val="21"/>
          <w:szCs w:val="21"/>
          <w:lang w:val="en-US" w:eastAsia="zh-CN"/>
        </w:rPr>
      </w:pPr>
      <w:r>
        <w:rPr>
          <w:rFonts w:hint="eastAsia" w:cs="Times New Roman"/>
          <w:b w:val="0"/>
          <w:bCs w:val="0"/>
          <w:i/>
          <w:iCs/>
          <w:sz w:val="21"/>
          <w:szCs w:val="21"/>
          <w:lang w:val="en-US" w:eastAsia="zh-CN"/>
        </w:rPr>
        <w:t xml:space="preserve">Observation 2: Combination of two triggering conditions has been discussed in Rel-16 CHO. Currently, the combination of two measIds is used to present the combination of different triggering conditions in the execution condition for conditional reconfiguration (e.g. CHO, CPAC). </w:t>
      </w:r>
    </w:p>
    <w:p>
      <w:pPr>
        <w:widowControl w:val="0"/>
        <w:numPr>
          <w:ilvl w:val="0"/>
          <w:numId w:val="0"/>
        </w:numPr>
        <w:ind w:leftChars="0"/>
        <w:jc w:val="both"/>
        <w:rPr>
          <w:rFonts w:hint="eastAsia" w:cs="Times New Roman"/>
          <w:b w:val="0"/>
          <w:bCs w:val="0"/>
          <w:sz w:val="21"/>
          <w:szCs w:val="21"/>
          <w:lang w:val="en-US" w:eastAsia="zh-CN"/>
        </w:rPr>
      </w:pPr>
      <w:r>
        <w:rPr>
          <w:rFonts w:hint="eastAsia" w:cs="Times New Roman"/>
          <w:b w:val="0"/>
          <w:bCs w:val="0"/>
          <w:sz w:val="21"/>
          <w:szCs w:val="21"/>
          <w:lang w:val="en-US" w:eastAsia="zh-CN"/>
        </w:rPr>
        <w:t xml:space="preserve">Considering that we had spent much time to discuss how to define the combination of triggering events and how to determine whether two triggering conditions are met in Rel-16 CHO discussion, we can simply reuse the similar mechanism in the joint use of different conditions for measurement reporting in NR UAV. In order to configuring association of </w:t>
      </w:r>
      <w:r>
        <w:rPr>
          <w:rFonts w:hint="eastAsia" w:cs="Times New Roman"/>
          <w:b w:val="0"/>
          <w:bCs w:val="0"/>
          <w:i/>
          <w:iCs/>
          <w:sz w:val="21"/>
          <w:szCs w:val="21"/>
          <w:lang w:val="en-US" w:eastAsia="zh-CN"/>
        </w:rPr>
        <w:t>measIds</w:t>
      </w:r>
      <w:r>
        <w:rPr>
          <w:rFonts w:hint="eastAsia" w:cs="Times New Roman"/>
          <w:b w:val="0"/>
          <w:bCs w:val="0"/>
          <w:sz w:val="21"/>
          <w:szCs w:val="21"/>
          <w:lang w:val="en-US" w:eastAsia="zh-CN"/>
        </w:rPr>
        <w:t xml:space="preserve">, a combined measurement ID can be introduced to indicate the combination between the measurement ID for event H1/H2 and the measurement ID for event Ax. </w:t>
      </w:r>
    </w:p>
    <w:p>
      <w:pPr>
        <w:widowControl w:val="0"/>
        <w:numPr>
          <w:ilvl w:val="0"/>
          <w:numId w:val="0"/>
        </w:numPr>
        <w:ind w:leftChars="0"/>
        <w:jc w:val="both"/>
        <w:rPr>
          <w:rFonts w:hint="eastAsia" w:cs="Times New Roman"/>
          <w:b/>
          <w:bCs/>
          <w:sz w:val="21"/>
          <w:szCs w:val="21"/>
          <w:lang w:val="en-US" w:eastAsia="zh-CN"/>
        </w:rPr>
      </w:pPr>
      <w:r>
        <w:rPr>
          <w:rFonts w:hint="eastAsia" w:cs="Times New Roman"/>
          <w:b/>
          <w:bCs/>
          <w:sz w:val="21"/>
          <w:szCs w:val="21"/>
          <w:lang w:val="en-US" w:eastAsia="zh-CN"/>
        </w:rPr>
        <w:t>Proposal 6: Combination of event H1 or H2 with event Ax is used to combine height-dependent condition and RSRP/RSRQ/SINR-based condition for measurement report triggering, i.e. not to define a new event for the joint conditions.</w:t>
      </w:r>
    </w:p>
    <w:p>
      <w:pPr>
        <w:widowControl w:val="0"/>
        <w:numPr>
          <w:ilvl w:val="0"/>
          <w:numId w:val="0"/>
        </w:numPr>
        <w:ind w:leftChars="0"/>
        <w:jc w:val="both"/>
        <w:rPr>
          <w:rFonts w:hint="eastAsia" w:cs="Times New Roman"/>
          <w:b/>
          <w:bCs/>
          <w:sz w:val="21"/>
          <w:szCs w:val="21"/>
          <w:lang w:val="en-US" w:eastAsia="zh-CN"/>
        </w:rPr>
      </w:pPr>
      <w:r>
        <w:rPr>
          <w:rFonts w:hint="eastAsia" w:cs="Times New Roman"/>
          <w:b/>
          <w:bCs/>
          <w:sz w:val="21"/>
          <w:szCs w:val="21"/>
          <w:lang w:val="en-US" w:eastAsia="zh-CN"/>
        </w:rPr>
        <w:t xml:space="preserve">Proposal 7: The combination of event H1 or H2 with event Ax is indicated by the combination of </w:t>
      </w:r>
      <w:r>
        <w:rPr>
          <w:rFonts w:hint="eastAsia" w:cs="Times New Roman"/>
          <w:b/>
          <w:bCs/>
          <w:i/>
          <w:iCs/>
          <w:sz w:val="21"/>
          <w:szCs w:val="21"/>
          <w:lang w:val="en-US" w:eastAsia="zh-CN"/>
        </w:rPr>
        <w:t xml:space="preserve">measId(s), </w:t>
      </w:r>
      <w:r>
        <w:rPr>
          <w:rFonts w:hint="eastAsia" w:cs="Times New Roman"/>
          <w:b/>
          <w:bCs/>
          <w:i w:val="0"/>
          <w:iCs w:val="0"/>
          <w:sz w:val="21"/>
          <w:szCs w:val="21"/>
          <w:lang w:val="en-US" w:eastAsia="zh-CN"/>
        </w:rPr>
        <w:t xml:space="preserve">e.g. associate one </w:t>
      </w:r>
      <w:r>
        <w:rPr>
          <w:rFonts w:hint="eastAsia" w:cs="Times New Roman"/>
          <w:b/>
          <w:bCs/>
          <w:i/>
          <w:iCs/>
          <w:sz w:val="21"/>
          <w:szCs w:val="21"/>
          <w:lang w:val="en-US" w:eastAsia="zh-CN"/>
        </w:rPr>
        <w:t xml:space="preserve">measId </w:t>
      </w:r>
      <w:r>
        <w:rPr>
          <w:rFonts w:hint="eastAsia" w:cs="Times New Roman"/>
          <w:b/>
          <w:bCs/>
          <w:i w:val="0"/>
          <w:iCs w:val="0"/>
          <w:sz w:val="21"/>
          <w:szCs w:val="21"/>
          <w:lang w:val="en-US" w:eastAsia="zh-CN"/>
        </w:rPr>
        <w:t xml:space="preserve">for event H1/2 with the other </w:t>
      </w:r>
      <w:r>
        <w:rPr>
          <w:rFonts w:hint="eastAsia" w:cs="Times New Roman"/>
          <w:b/>
          <w:bCs/>
          <w:i/>
          <w:iCs/>
          <w:sz w:val="21"/>
          <w:szCs w:val="21"/>
          <w:lang w:val="en-US" w:eastAsia="zh-CN"/>
        </w:rPr>
        <w:t xml:space="preserve">measId </w:t>
      </w:r>
      <w:r>
        <w:rPr>
          <w:rFonts w:hint="eastAsia" w:cs="Times New Roman"/>
          <w:b/>
          <w:bCs/>
          <w:i w:val="0"/>
          <w:iCs w:val="0"/>
          <w:sz w:val="21"/>
          <w:szCs w:val="21"/>
          <w:lang w:val="en-US" w:eastAsia="zh-CN"/>
        </w:rPr>
        <w:t xml:space="preserve">for event Ax. </w:t>
      </w:r>
      <w:r>
        <w:rPr>
          <w:rFonts w:hint="eastAsia" w:cs="Times New Roman"/>
          <w:b/>
          <w:bCs/>
          <w:sz w:val="21"/>
          <w:szCs w:val="21"/>
          <w:lang w:val="en-US" w:eastAsia="zh-CN"/>
        </w:rPr>
        <w:t xml:space="preserve">A new measurement identifier (e.g. </w:t>
      </w:r>
      <w:r>
        <w:rPr>
          <w:rFonts w:hint="eastAsia" w:cs="Times New Roman"/>
          <w:b/>
          <w:bCs/>
          <w:i/>
          <w:iCs/>
          <w:sz w:val="21"/>
          <w:szCs w:val="21"/>
          <w:lang w:val="en-US" w:eastAsia="zh-CN"/>
        </w:rPr>
        <w:t xml:space="preserve">combinedMeasId </w:t>
      </w:r>
      <w:r>
        <w:rPr>
          <w:rFonts w:hint="eastAsia" w:cs="Times New Roman"/>
          <w:b/>
          <w:bCs/>
          <w:sz w:val="21"/>
          <w:szCs w:val="21"/>
          <w:lang w:val="en-US" w:eastAsia="zh-CN"/>
        </w:rPr>
        <w:t xml:space="preserve">IE) can be introduced to indicate the combination of </w:t>
      </w:r>
      <w:r>
        <w:rPr>
          <w:rFonts w:hint="eastAsia" w:cs="Times New Roman"/>
          <w:b/>
          <w:bCs/>
          <w:i/>
          <w:iCs/>
          <w:sz w:val="21"/>
          <w:szCs w:val="21"/>
          <w:lang w:val="en-US" w:eastAsia="zh-CN"/>
        </w:rPr>
        <w:t>measId(s)</w:t>
      </w:r>
      <w:r>
        <w:rPr>
          <w:rFonts w:hint="eastAsia" w:cs="Times New Roman"/>
          <w:b/>
          <w:bCs/>
          <w:sz w:val="21"/>
          <w:szCs w:val="21"/>
          <w:lang w:val="en-US" w:eastAsia="zh-CN"/>
        </w:rPr>
        <w:t>.</w:t>
      </w:r>
    </w:p>
    <w:p>
      <w:pPr>
        <w:widowControl w:val="0"/>
        <w:numPr>
          <w:ilvl w:val="0"/>
          <w:numId w:val="0"/>
        </w:numPr>
        <w:ind w:leftChars="0"/>
        <w:jc w:val="both"/>
        <w:rPr>
          <w:rFonts w:hint="eastAsia" w:cs="Times New Roman"/>
          <w:b w:val="0"/>
          <w:bCs w:val="0"/>
          <w:sz w:val="21"/>
          <w:szCs w:val="21"/>
          <w:lang w:val="en-US" w:eastAsia="zh-CN"/>
        </w:rPr>
      </w:pPr>
      <w:r>
        <w:rPr>
          <w:rFonts w:hint="default" w:cs="Times New Roman"/>
          <w:b w:val="0"/>
          <w:bCs w:val="0"/>
          <w:sz w:val="21"/>
          <w:szCs w:val="21"/>
          <w:lang w:val="en-US" w:eastAsia="zh-CN"/>
        </w:rPr>
        <w:t>One important aspect that has been raised and needs to be resolved is how to ensure the coexistence of combined H1/H2 and standalone H1/H2</w:t>
      </w:r>
      <w:r>
        <w:rPr>
          <w:rFonts w:hint="eastAsia" w:cs="Times New Roman"/>
          <w:b w:val="0"/>
          <w:bCs w:val="0"/>
          <w:sz w:val="21"/>
          <w:szCs w:val="21"/>
          <w:lang w:val="en-US" w:eastAsia="zh-CN"/>
        </w:rPr>
        <w:t>., e.g., if both events trigger,</w:t>
      </w:r>
      <w:r>
        <w:rPr>
          <w:rFonts w:hint="default" w:cs="Times New Roman"/>
          <w:b w:val="0"/>
          <w:bCs w:val="0"/>
          <w:sz w:val="21"/>
          <w:szCs w:val="21"/>
          <w:lang w:val="en-US" w:eastAsia="zh-CN"/>
        </w:rPr>
        <w:t xml:space="preserve"> is the NW receiving duplicated reports?</w:t>
      </w:r>
      <w:r>
        <w:rPr>
          <w:rFonts w:hint="eastAsia" w:cs="Times New Roman"/>
          <w:b w:val="0"/>
          <w:bCs w:val="0"/>
          <w:sz w:val="21"/>
          <w:szCs w:val="21"/>
          <w:lang w:val="en-US" w:eastAsia="zh-CN"/>
        </w:rPr>
        <w:t xml:space="preserve"> In order to avoid duplicated measurement reports triggered by both events, in case that the </w:t>
      </w:r>
      <w:r>
        <w:rPr>
          <w:rFonts w:hint="eastAsia" w:cs="Times New Roman"/>
          <w:b w:val="0"/>
          <w:bCs w:val="0"/>
          <w:i/>
          <w:iCs/>
          <w:sz w:val="21"/>
          <w:szCs w:val="21"/>
          <w:lang w:val="en-US" w:eastAsia="zh-CN"/>
        </w:rPr>
        <w:t xml:space="preserve">measId </w:t>
      </w:r>
      <w:r>
        <w:rPr>
          <w:rFonts w:hint="eastAsia" w:cs="Times New Roman"/>
          <w:b w:val="0"/>
          <w:bCs w:val="0"/>
          <w:sz w:val="21"/>
          <w:szCs w:val="21"/>
          <w:lang w:val="en-US" w:eastAsia="zh-CN"/>
        </w:rPr>
        <w:t xml:space="preserve">for event H1/H2 is associated with other </w:t>
      </w:r>
      <w:r>
        <w:rPr>
          <w:rFonts w:hint="eastAsia" w:cs="Times New Roman"/>
          <w:b w:val="0"/>
          <w:bCs w:val="0"/>
          <w:i/>
          <w:iCs/>
          <w:sz w:val="21"/>
          <w:szCs w:val="21"/>
          <w:lang w:val="en-US" w:eastAsia="zh-CN"/>
        </w:rPr>
        <w:t>measId</w:t>
      </w:r>
      <w:r>
        <w:rPr>
          <w:rFonts w:hint="eastAsia" w:cs="Times New Roman"/>
          <w:b w:val="0"/>
          <w:bCs w:val="0"/>
          <w:sz w:val="21"/>
          <w:szCs w:val="21"/>
          <w:lang w:val="en-US" w:eastAsia="zh-CN"/>
        </w:rPr>
        <w:t xml:space="preserve">, the UE shall trigger the measurement report only when event(s) associated to all associated </w:t>
      </w:r>
      <w:r>
        <w:rPr>
          <w:rFonts w:hint="eastAsia" w:cs="Times New Roman"/>
          <w:b w:val="0"/>
          <w:bCs w:val="0"/>
          <w:i/>
          <w:iCs/>
          <w:sz w:val="21"/>
          <w:szCs w:val="21"/>
          <w:lang w:val="en-US" w:eastAsia="zh-CN"/>
        </w:rPr>
        <w:t>measId(s)</w:t>
      </w:r>
      <w:r>
        <w:rPr>
          <w:rFonts w:hint="eastAsia" w:cs="Times New Roman"/>
          <w:b w:val="0"/>
          <w:bCs w:val="0"/>
          <w:sz w:val="21"/>
          <w:szCs w:val="21"/>
          <w:lang w:val="en-US" w:eastAsia="zh-CN"/>
        </w:rPr>
        <w:t xml:space="preserve"> are fulfilled. For example, if a </w:t>
      </w:r>
      <w:r>
        <w:rPr>
          <w:rFonts w:hint="eastAsia" w:cs="Times New Roman"/>
          <w:b w:val="0"/>
          <w:bCs w:val="0"/>
          <w:i/>
          <w:iCs/>
          <w:sz w:val="21"/>
          <w:szCs w:val="21"/>
          <w:lang w:val="en-US" w:eastAsia="zh-CN"/>
        </w:rPr>
        <w:t xml:space="preserve">combinedMeadId </w:t>
      </w:r>
      <w:r>
        <w:rPr>
          <w:rFonts w:hint="eastAsia" w:cs="Times New Roman"/>
          <w:b w:val="0"/>
          <w:bCs w:val="0"/>
          <w:sz w:val="21"/>
          <w:szCs w:val="21"/>
          <w:lang w:val="en-US" w:eastAsia="zh-CN"/>
        </w:rPr>
        <w:t xml:space="preserve">is defined, The UE shall initiate the measurement report only when event(s) associated to all </w:t>
      </w:r>
      <w:r>
        <w:rPr>
          <w:rFonts w:hint="eastAsia" w:cs="Times New Roman"/>
          <w:b w:val="0"/>
          <w:bCs w:val="0"/>
          <w:i/>
          <w:iCs/>
          <w:sz w:val="21"/>
          <w:szCs w:val="21"/>
          <w:lang w:val="en-US" w:eastAsia="zh-CN"/>
        </w:rPr>
        <w:t>measId(s)</w:t>
      </w:r>
      <w:r>
        <w:rPr>
          <w:rFonts w:hint="eastAsia" w:cs="Times New Roman"/>
          <w:b w:val="0"/>
          <w:bCs w:val="0"/>
          <w:sz w:val="21"/>
          <w:szCs w:val="21"/>
          <w:lang w:val="en-US" w:eastAsia="zh-CN"/>
        </w:rPr>
        <w:t xml:space="preserve"> within </w:t>
      </w:r>
      <w:r>
        <w:rPr>
          <w:rFonts w:hint="eastAsia" w:cs="Times New Roman"/>
          <w:b w:val="0"/>
          <w:bCs w:val="0"/>
          <w:i/>
          <w:iCs/>
          <w:sz w:val="21"/>
          <w:szCs w:val="21"/>
          <w:lang w:val="en-US" w:eastAsia="zh-CN"/>
        </w:rPr>
        <w:t xml:space="preserve">combinedMeasId </w:t>
      </w:r>
      <w:r>
        <w:rPr>
          <w:rFonts w:hint="eastAsia" w:cs="Times New Roman"/>
          <w:b w:val="0"/>
          <w:bCs w:val="0"/>
          <w:sz w:val="21"/>
          <w:szCs w:val="21"/>
          <w:lang w:val="en-US" w:eastAsia="zh-CN"/>
        </w:rPr>
        <w:t xml:space="preserve">are fulfilled. Namely, the UE shall not redundantly trigger the measurement report for standalone event H1/H2 or event Ax if the event associated with the same </w:t>
      </w:r>
      <w:r>
        <w:rPr>
          <w:rFonts w:hint="eastAsia" w:cs="Times New Roman"/>
          <w:b w:val="0"/>
          <w:bCs w:val="0"/>
          <w:i/>
          <w:iCs/>
          <w:sz w:val="21"/>
          <w:szCs w:val="21"/>
          <w:lang w:val="en-US" w:eastAsia="zh-CN"/>
        </w:rPr>
        <w:t>measId(s)</w:t>
      </w:r>
      <w:r>
        <w:rPr>
          <w:rFonts w:hint="eastAsia" w:cs="Times New Roman"/>
          <w:b w:val="0"/>
          <w:bCs w:val="0"/>
          <w:sz w:val="21"/>
          <w:szCs w:val="21"/>
          <w:lang w:val="en-US" w:eastAsia="zh-CN"/>
        </w:rPr>
        <w:t xml:space="preserve"> included in the </w:t>
      </w:r>
      <w:r>
        <w:rPr>
          <w:rFonts w:hint="eastAsia" w:cs="Times New Roman"/>
          <w:b w:val="0"/>
          <w:bCs w:val="0"/>
          <w:i/>
          <w:iCs/>
          <w:sz w:val="21"/>
          <w:szCs w:val="21"/>
          <w:lang w:val="en-US" w:eastAsia="zh-CN"/>
        </w:rPr>
        <w:t>combinedMeasId</w:t>
      </w:r>
      <w:r>
        <w:rPr>
          <w:rFonts w:hint="eastAsia" w:cs="Times New Roman"/>
          <w:b w:val="0"/>
          <w:bCs w:val="0"/>
          <w:sz w:val="21"/>
          <w:szCs w:val="21"/>
          <w:lang w:val="en-US" w:eastAsia="zh-CN"/>
        </w:rPr>
        <w:t>.</w:t>
      </w:r>
    </w:p>
    <w:p>
      <w:pPr>
        <w:widowControl w:val="0"/>
        <w:numPr>
          <w:ilvl w:val="0"/>
          <w:numId w:val="0"/>
        </w:numPr>
        <w:ind w:leftChars="0"/>
        <w:jc w:val="both"/>
        <w:rPr>
          <w:rFonts w:hint="eastAsia" w:cs="Times New Roman"/>
          <w:b/>
          <w:bCs/>
          <w:sz w:val="21"/>
          <w:szCs w:val="21"/>
          <w:lang w:val="en-US" w:eastAsia="zh-CN"/>
        </w:rPr>
      </w:pPr>
      <w:r>
        <w:rPr>
          <w:rFonts w:hint="eastAsia" w:cs="Times New Roman"/>
          <w:b/>
          <w:bCs/>
          <w:sz w:val="21"/>
          <w:szCs w:val="21"/>
          <w:lang w:val="en-US" w:eastAsia="zh-CN"/>
        </w:rPr>
        <w:t xml:space="preserve">Proposal 8: The UE shall initiate the measurement report only when both event(s) in the combination are fulfilled, e.g. events associated to all </w:t>
      </w:r>
      <w:r>
        <w:rPr>
          <w:rFonts w:hint="eastAsia" w:cs="Times New Roman"/>
          <w:b/>
          <w:bCs/>
          <w:i/>
          <w:iCs/>
          <w:sz w:val="21"/>
          <w:szCs w:val="21"/>
          <w:lang w:val="en-US" w:eastAsia="zh-CN"/>
        </w:rPr>
        <w:t>measId(s)</w:t>
      </w:r>
      <w:r>
        <w:rPr>
          <w:rFonts w:hint="eastAsia" w:cs="Times New Roman"/>
          <w:b/>
          <w:bCs/>
          <w:sz w:val="21"/>
          <w:szCs w:val="21"/>
          <w:lang w:val="en-US" w:eastAsia="zh-CN"/>
        </w:rPr>
        <w:t xml:space="preserve"> within </w:t>
      </w:r>
      <w:r>
        <w:rPr>
          <w:rFonts w:hint="eastAsia" w:cs="Times New Roman"/>
          <w:b/>
          <w:bCs/>
          <w:i/>
          <w:iCs/>
          <w:sz w:val="21"/>
          <w:szCs w:val="21"/>
          <w:lang w:val="en-US" w:eastAsia="zh-CN"/>
        </w:rPr>
        <w:t xml:space="preserve">combinedMeasId </w:t>
      </w:r>
      <w:r>
        <w:rPr>
          <w:rFonts w:hint="eastAsia" w:cs="Times New Roman"/>
          <w:b/>
          <w:bCs/>
          <w:sz w:val="21"/>
          <w:szCs w:val="21"/>
          <w:lang w:val="en-US" w:eastAsia="zh-CN"/>
        </w:rPr>
        <w:t xml:space="preserve">are fulfilled. </w:t>
      </w:r>
    </w:p>
    <w:p>
      <w:pPr>
        <w:widowControl w:val="0"/>
        <w:numPr>
          <w:ilvl w:val="0"/>
          <w:numId w:val="0"/>
        </w:numPr>
        <w:ind w:leftChars="0"/>
        <w:jc w:val="both"/>
        <w:rPr>
          <w:rFonts w:hint="default" w:cs="Times New Roman"/>
          <w:b/>
          <w:bCs/>
          <w:sz w:val="21"/>
          <w:szCs w:val="21"/>
          <w:lang w:val="en-US" w:eastAsia="zh-CN"/>
        </w:rPr>
      </w:pPr>
    </w:p>
    <w:p>
      <w:pPr>
        <w:widowControl w:val="0"/>
        <w:numPr>
          <w:ilvl w:val="0"/>
          <w:numId w:val="0"/>
        </w:numPr>
        <w:jc w:val="both"/>
        <w:rPr>
          <w:rFonts w:hint="eastAsia" w:cs="Times New Roman"/>
          <w:b/>
          <w:bCs/>
          <w:i/>
          <w:iCs/>
          <w:sz w:val="21"/>
          <w:szCs w:val="21"/>
          <w:u w:val="single"/>
          <w:lang w:val="en-US" w:eastAsia="zh-CN"/>
        </w:rPr>
      </w:pPr>
      <w:r>
        <w:rPr>
          <w:rFonts w:hint="eastAsia" w:cs="Times New Roman"/>
          <w:b/>
          <w:bCs/>
          <w:i/>
          <w:iCs/>
          <w:sz w:val="21"/>
          <w:szCs w:val="21"/>
          <w:u w:val="single"/>
          <w:lang w:val="en-US" w:eastAsia="zh-CN"/>
        </w:rPr>
        <w:t>Issue 3: Height-dependent RRM configuration</w:t>
      </w:r>
    </w:p>
    <w:p>
      <w:pPr>
        <w:widowControl w:val="0"/>
        <w:numPr>
          <w:ilvl w:val="0"/>
          <w:numId w:val="0"/>
        </w:numPr>
        <w:jc w:val="both"/>
        <w:rPr>
          <w:rFonts w:hint="default" w:cs="Times New Roman"/>
          <w:b w:val="0"/>
          <w:bCs w:val="0"/>
          <w:i w:val="0"/>
          <w:iCs w:val="0"/>
          <w:sz w:val="21"/>
          <w:szCs w:val="21"/>
          <w:u w:val="none"/>
          <w:lang w:val="en-US" w:eastAsia="zh-CN"/>
        </w:rPr>
      </w:pPr>
      <w:r>
        <w:rPr>
          <w:rFonts w:hint="eastAsia" w:cs="Times New Roman"/>
          <w:b w:val="0"/>
          <w:bCs w:val="0"/>
          <w:i w:val="0"/>
          <w:iCs w:val="0"/>
          <w:sz w:val="21"/>
          <w:szCs w:val="21"/>
          <w:u w:val="none"/>
          <w:lang w:val="en-US" w:eastAsia="zh-CN"/>
        </w:rPr>
        <w:t>In the email discussion, companies discussed whether height-dependent RRM configuration (e.g. multiple sets of RRM configuration are configured for the UE, each one to be used within certain height region), but no consensus was reached.</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widowControl w:val="0"/>
              <w:numPr>
                <w:ilvl w:val="0"/>
                <w:numId w:val="0"/>
              </w:numPr>
              <w:jc w:val="both"/>
              <w:rPr>
                <w:rFonts w:hint="default" w:cs="Times New Roman"/>
                <w:b/>
                <w:bCs/>
                <w:sz w:val="21"/>
                <w:szCs w:val="21"/>
                <w:vertAlign w:val="baseline"/>
                <w:lang w:val="en-US" w:eastAsia="zh-CN"/>
              </w:rPr>
            </w:pPr>
            <w:r>
              <w:rPr>
                <w:rFonts w:hint="default" w:cs="Times New Roman"/>
                <w:b/>
                <w:bCs/>
                <w:sz w:val="21"/>
                <w:szCs w:val="21"/>
                <w:vertAlign w:val="baseline"/>
                <w:lang w:val="en-US" w:eastAsia="zh-CN"/>
              </w:rPr>
              <w:t>Proposal 4: Discuss the following aspects before enabling more than a single configuration (e.g. RRM configuration), each for a specific height region:</w:t>
            </w:r>
          </w:p>
          <w:p>
            <w:pPr>
              <w:pStyle w:val="284"/>
              <w:widowControl/>
              <w:numPr>
                <w:ilvl w:val="0"/>
                <w:numId w:val="6"/>
              </w:numPr>
              <w:spacing w:after="180"/>
              <w:ind w:left="720" w:firstLine="0" w:firstLineChars="0"/>
              <w:contextualSpacing/>
              <w:jc w:val="left"/>
              <w:rPr>
                <w:rFonts w:hint="default" w:eastAsia="宋体"/>
                <w:b/>
                <w:bCs/>
                <w:kern w:val="0"/>
                <w:sz w:val="21"/>
                <w:szCs w:val="21"/>
                <w:lang w:val="en-US" w:eastAsia="zh-CN"/>
              </w:rPr>
            </w:pPr>
            <w:r>
              <w:rPr>
                <w:rFonts w:hint="default" w:eastAsia="宋体"/>
                <w:b/>
                <w:bCs/>
                <w:kern w:val="0"/>
                <w:sz w:val="21"/>
                <w:szCs w:val="21"/>
                <w:lang w:val="en-US" w:eastAsia="zh-CN"/>
              </w:rPr>
              <w:t>What happens with UE’s filters, variables, etc. when the switch between configurations happens? Is the behavior different than the one already specified e.g. for cell change?</w:t>
            </w:r>
          </w:p>
          <w:p>
            <w:pPr>
              <w:pStyle w:val="284"/>
              <w:widowControl/>
              <w:numPr>
                <w:ilvl w:val="0"/>
                <w:numId w:val="6"/>
              </w:numPr>
              <w:spacing w:after="180"/>
              <w:ind w:left="720" w:firstLine="0" w:firstLineChars="0"/>
              <w:contextualSpacing/>
              <w:jc w:val="left"/>
              <w:rPr>
                <w:rFonts w:hint="default" w:eastAsia="宋体"/>
                <w:b/>
                <w:bCs/>
                <w:kern w:val="0"/>
                <w:sz w:val="21"/>
                <w:szCs w:val="21"/>
                <w:lang w:val="en-US" w:eastAsia="zh-CN"/>
              </w:rPr>
            </w:pPr>
            <w:r>
              <w:rPr>
                <w:rFonts w:hint="default" w:eastAsia="宋体"/>
                <w:b/>
                <w:bCs/>
                <w:kern w:val="0"/>
                <w:sz w:val="21"/>
                <w:szCs w:val="21"/>
                <w:lang w:val="en-US" w:eastAsia="zh-CN"/>
              </w:rPr>
              <w:t>Is there a mismatch between what the NW is aware of and the actual configuration the UE uses?</w:t>
            </w:r>
          </w:p>
          <w:p>
            <w:pPr>
              <w:pStyle w:val="284"/>
              <w:widowControl/>
              <w:numPr>
                <w:ilvl w:val="0"/>
                <w:numId w:val="6"/>
              </w:numPr>
              <w:spacing w:after="180"/>
              <w:ind w:left="720" w:firstLine="0" w:firstLineChars="0"/>
              <w:contextualSpacing/>
              <w:jc w:val="left"/>
              <w:rPr>
                <w:rFonts w:hint="default" w:cs="Times New Roman"/>
                <w:b/>
                <w:bCs/>
                <w:sz w:val="21"/>
                <w:szCs w:val="21"/>
                <w:vertAlign w:val="baseline"/>
                <w:lang w:val="en-US" w:eastAsia="zh-CN"/>
              </w:rPr>
            </w:pPr>
            <w:r>
              <w:rPr>
                <w:rFonts w:hint="default" w:eastAsia="宋体"/>
                <w:b/>
                <w:bCs/>
                <w:kern w:val="0"/>
                <w:sz w:val="21"/>
                <w:szCs w:val="21"/>
                <w:lang w:val="en-US" w:eastAsia="zh-CN"/>
              </w:rPr>
              <w:t>The benefit of multiple configurations versus H1/H2 reporting to the NW and waiting for the new configuration</w:t>
            </w:r>
          </w:p>
          <w:p>
            <w:pPr>
              <w:pStyle w:val="284"/>
              <w:widowControl/>
              <w:numPr>
                <w:ilvl w:val="0"/>
                <w:numId w:val="6"/>
              </w:numPr>
              <w:spacing w:after="180"/>
              <w:ind w:left="720" w:firstLine="0" w:firstLineChars="0"/>
              <w:contextualSpacing/>
              <w:jc w:val="left"/>
              <w:rPr>
                <w:rFonts w:hint="default" w:cs="Times New Roman"/>
                <w:b w:val="0"/>
                <w:bCs w:val="0"/>
                <w:sz w:val="21"/>
                <w:szCs w:val="21"/>
                <w:vertAlign w:val="baseline"/>
                <w:lang w:val="en-US" w:eastAsia="zh-CN"/>
              </w:rPr>
            </w:pPr>
            <w:r>
              <w:rPr>
                <w:rFonts w:hint="default" w:eastAsia="宋体"/>
                <w:b/>
                <w:bCs/>
                <w:kern w:val="0"/>
                <w:sz w:val="21"/>
                <w:szCs w:val="21"/>
                <w:lang w:val="en-US" w:eastAsia="zh-CN"/>
              </w:rPr>
              <w:t>Can the NW know and properly configure the LOS/NLOS boundary?</w:t>
            </w:r>
          </w:p>
        </w:tc>
      </w:tr>
    </w:tbl>
    <w:p>
      <w:pPr>
        <w:widowControl w:val="0"/>
        <w:numPr>
          <w:ilvl w:val="0"/>
          <w:numId w:val="0"/>
        </w:numPr>
        <w:ind w:leftChars="0"/>
        <w:jc w:val="both"/>
        <w:rPr>
          <w:rFonts w:hint="eastAsia" w:cs="Times New Roman"/>
          <w:b w:val="0"/>
          <w:bCs w:val="0"/>
          <w:sz w:val="21"/>
          <w:szCs w:val="21"/>
          <w:lang w:val="en-US" w:eastAsia="zh-CN"/>
        </w:rPr>
      </w:pPr>
      <w:r>
        <w:rPr>
          <w:rFonts w:hint="eastAsia" w:cs="Times New Roman"/>
          <w:b w:val="0"/>
          <w:bCs w:val="0"/>
          <w:sz w:val="21"/>
          <w:szCs w:val="21"/>
          <w:lang w:val="en-US" w:eastAsia="zh-CN"/>
        </w:rPr>
        <w:t>We try to analysis each issue listed in the proposal above, and see the potential impact on the UE and NW handling. For issue a), on the UE action (e.g. handling on the UE</w:t>
      </w:r>
      <w:r>
        <w:rPr>
          <w:rFonts w:hint="default" w:cs="Times New Roman"/>
          <w:b w:val="0"/>
          <w:bCs w:val="0"/>
          <w:sz w:val="21"/>
          <w:szCs w:val="21"/>
          <w:lang w:val="en-US" w:eastAsia="zh-CN"/>
        </w:rPr>
        <w:t>’</w:t>
      </w:r>
      <w:r>
        <w:rPr>
          <w:rFonts w:hint="eastAsia" w:cs="Times New Roman"/>
          <w:b w:val="0"/>
          <w:bCs w:val="0"/>
          <w:sz w:val="21"/>
          <w:szCs w:val="21"/>
          <w:lang w:val="en-US" w:eastAsia="zh-CN"/>
        </w:rPr>
        <w:t xml:space="preserve">s filters, variable, etc) when the configuration switch happens, we think the UE behaviour is similar to the case for the normal measurement reconfiguration triggered by the NW (i.e. reception of </w:t>
      </w:r>
      <w:r>
        <w:rPr>
          <w:rFonts w:hint="eastAsia" w:cs="Times New Roman"/>
          <w:b w:val="0"/>
          <w:bCs w:val="0"/>
          <w:i/>
          <w:iCs/>
          <w:sz w:val="21"/>
          <w:szCs w:val="21"/>
          <w:lang w:val="en-US" w:eastAsia="zh-CN"/>
        </w:rPr>
        <w:t xml:space="preserve">RRCReconfiguration </w:t>
      </w:r>
      <w:r>
        <w:rPr>
          <w:rFonts w:hint="eastAsia" w:cs="Times New Roman"/>
          <w:b w:val="0"/>
          <w:bCs w:val="0"/>
          <w:sz w:val="21"/>
          <w:szCs w:val="21"/>
          <w:lang w:val="en-US" w:eastAsia="zh-CN"/>
        </w:rPr>
        <w:t xml:space="preserve">message with </w:t>
      </w:r>
      <w:r>
        <w:rPr>
          <w:rFonts w:hint="eastAsia" w:cs="Times New Roman"/>
          <w:b w:val="0"/>
          <w:bCs w:val="0"/>
          <w:i/>
          <w:iCs/>
          <w:sz w:val="21"/>
          <w:szCs w:val="21"/>
          <w:lang w:val="en-US" w:eastAsia="zh-CN"/>
        </w:rPr>
        <w:t xml:space="preserve">MeasConfig </w:t>
      </w:r>
      <w:r>
        <w:rPr>
          <w:rFonts w:hint="eastAsia" w:cs="Times New Roman"/>
          <w:b w:val="0"/>
          <w:bCs w:val="0"/>
          <w:sz w:val="21"/>
          <w:szCs w:val="21"/>
          <w:lang w:val="en-US" w:eastAsia="zh-CN"/>
        </w:rPr>
        <w:t>from the NW). So nothing new handling needs to be specified.</w:t>
      </w:r>
    </w:p>
    <w:p>
      <w:pPr>
        <w:keepNext w:val="0"/>
        <w:keepLines w:val="0"/>
        <w:pageBreakBefore w:val="0"/>
        <w:widowControl w:val="0"/>
        <w:kinsoku/>
        <w:wordWrap/>
        <w:overflowPunct/>
        <w:topLinePunct w:val="0"/>
        <w:autoSpaceDE/>
        <w:autoSpaceDN/>
        <w:bidi w:val="0"/>
        <w:adjustRightInd/>
        <w:snapToGrid/>
        <w:spacing w:after="120" w:line="20" w:lineRule="atLeast"/>
        <w:textAlignment w:val="auto"/>
        <w:rPr>
          <w:rFonts w:hint="eastAsia" w:cs="Times New Roman"/>
          <w:b w:val="0"/>
          <w:bCs w:val="0"/>
          <w:sz w:val="21"/>
          <w:szCs w:val="21"/>
          <w:lang w:val="en-US" w:eastAsia="zh-CN"/>
        </w:rPr>
      </w:pPr>
      <w:r>
        <w:rPr>
          <w:rFonts w:hint="eastAsia" w:cs="Times New Roman"/>
          <w:i/>
          <w:iCs/>
          <w:sz w:val="20"/>
          <w:szCs w:val="20"/>
          <w:lang w:val="en-US" w:eastAsia="zh-CN"/>
        </w:rPr>
        <w:t>Observation 3: The UE action upon the autonomous RRM configuration switch is similar to the normal measurement reconfiguration triggered by the NW (i.e. reception of RRCReconfiguration message with MeasConfig from the NW). It seems that nothing new handling needs to be specified.</w:t>
      </w:r>
    </w:p>
    <w:p>
      <w:pPr>
        <w:widowControl w:val="0"/>
        <w:numPr>
          <w:ilvl w:val="0"/>
          <w:numId w:val="0"/>
        </w:numPr>
        <w:ind w:leftChars="0"/>
        <w:jc w:val="both"/>
        <w:rPr>
          <w:rFonts w:hint="eastAsia" w:cs="Times New Roman"/>
          <w:b w:val="0"/>
          <w:bCs w:val="0"/>
          <w:sz w:val="21"/>
          <w:szCs w:val="21"/>
          <w:lang w:val="en-US" w:eastAsia="zh-CN"/>
        </w:rPr>
      </w:pPr>
      <w:r>
        <w:rPr>
          <w:rFonts w:hint="eastAsia" w:cs="Times New Roman"/>
          <w:b w:val="0"/>
          <w:bCs w:val="0"/>
          <w:sz w:val="21"/>
          <w:szCs w:val="21"/>
          <w:lang w:val="en-US" w:eastAsia="zh-CN"/>
        </w:rPr>
        <w:t>For issue b), it</w:t>
      </w:r>
      <w:r>
        <w:rPr>
          <w:rFonts w:hint="default" w:cs="Times New Roman"/>
          <w:b w:val="0"/>
          <w:bCs w:val="0"/>
          <w:sz w:val="21"/>
          <w:szCs w:val="21"/>
          <w:lang w:val="en-US" w:eastAsia="zh-CN"/>
        </w:rPr>
        <w:t>’</w:t>
      </w:r>
      <w:r>
        <w:rPr>
          <w:rFonts w:hint="eastAsia" w:cs="Times New Roman"/>
          <w:b w:val="0"/>
          <w:bCs w:val="0"/>
          <w:sz w:val="21"/>
          <w:szCs w:val="21"/>
          <w:lang w:val="en-US" w:eastAsia="zh-CN"/>
        </w:rPr>
        <w:t>s true that there may have a mismatch between what the NW is aware of and the actual configuration the UE uses. The main object for the measurement is to let the NW collect the measurement results on the desired cells or/and beams from the UE. So we think there is no big issue if the parameters related to measurement results derivation criteria are not changed (e.g. filter coefficient, RS consolidation threshold, etc, could not be configured height-dependent differently). Besides, the NW can be aware of which set of RRM configuration is applied by the UE if the measurement report contains the height related information. Actually, if height-dependent measurement configuration is just related to beam/RS resources configuration, e.g. SSB-ToMeasure, the NW is not required to know which set of RRM configuration is applied by the UE. The UE just needs to measure the specific beams based on the configuration and send the available measurement results to the NW.</w:t>
      </w:r>
    </w:p>
    <w:p>
      <w:pPr>
        <w:widowControl w:val="0"/>
        <w:numPr>
          <w:ilvl w:val="0"/>
          <w:numId w:val="0"/>
        </w:numPr>
        <w:ind w:leftChars="0"/>
        <w:jc w:val="both"/>
        <w:rPr>
          <w:rFonts w:hint="eastAsia" w:cs="Times New Roman"/>
          <w:b w:val="0"/>
          <w:bCs w:val="0"/>
          <w:i/>
          <w:iCs/>
          <w:sz w:val="21"/>
          <w:szCs w:val="21"/>
          <w:lang w:val="en-US" w:eastAsia="zh-CN"/>
        </w:rPr>
      </w:pPr>
      <w:r>
        <w:rPr>
          <w:rFonts w:hint="eastAsia" w:cs="Times New Roman"/>
          <w:b w:val="0"/>
          <w:bCs w:val="0"/>
          <w:i/>
          <w:iCs/>
          <w:sz w:val="21"/>
          <w:szCs w:val="21"/>
          <w:lang w:val="en-US" w:eastAsia="zh-CN"/>
        </w:rPr>
        <w:t xml:space="preserve">Observation 4: The configuration mismatch between what the NW is aware of and the actual configuration the UE uses is not a critical issue if the parameters related to measurement results derivation criteria (e.g. filter coefficient, RS consolidation threshold) are not changed. </w:t>
      </w:r>
    </w:p>
    <w:p>
      <w:pPr>
        <w:widowControl w:val="0"/>
        <w:numPr>
          <w:ilvl w:val="0"/>
          <w:numId w:val="0"/>
        </w:numPr>
        <w:ind w:leftChars="0"/>
        <w:jc w:val="both"/>
        <w:rPr>
          <w:rFonts w:hint="default" w:cs="Times New Roman"/>
          <w:b w:val="0"/>
          <w:bCs w:val="0"/>
          <w:i/>
          <w:iCs/>
          <w:sz w:val="21"/>
          <w:szCs w:val="21"/>
          <w:lang w:val="en-US" w:eastAsia="zh-CN"/>
        </w:rPr>
      </w:pPr>
      <w:r>
        <w:rPr>
          <w:rFonts w:hint="eastAsia" w:cs="Times New Roman"/>
          <w:b w:val="0"/>
          <w:bCs w:val="0"/>
          <w:i/>
          <w:iCs/>
          <w:sz w:val="21"/>
          <w:szCs w:val="21"/>
          <w:lang w:val="en-US" w:eastAsia="zh-CN"/>
        </w:rPr>
        <w:t xml:space="preserve">Observation 5: The NW can be aware of which set of RRM configuration is applied by the UE if the measurement report contains the height related information.  </w:t>
      </w:r>
    </w:p>
    <w:p>
      <w:pPr>
        <w:widowControl w:val="0"/>
        <w:numPr>
          <w:ilvl w:val="0"/>
          <w:numId w:val="0"/>
        </w:numPr>
        <w:ind w:leftChars="0"/>
        <w:jc w:val="both"/>
        <w:rPr>
          <w:rFonts w:hint="eastAsia" w:cs="Times New Roman"/>
          <w:b w:val="0"/>
          <w:bCs w:val="0"/>
          <w:sz w:val="21"/>
          <w:szCs w:val="21"/>
          <w:lang w:val="en-US" w:eastAsia="zh-CN"/>
        </w:rPr>
      </w:pPr>
      <w:r>
        <w:rPr>
          <w:rFonts w:hint="eastAsia" w:cs="Times New Roman"/>
          <w:b w:val="0"/>
          <w:bCs w:val="0"/>
          <w:sz w:val="21"/>
          <w:szCs w:val="21"/>
          <w:lang w:val="en-US" w:eastAsia="zh-CN"/>
        </w:rPr>
        <w:t>For issue c), in case of high-speed vertical movement of UAV UE, the NW may need to frequently re-configure the RRM configuration to support the vertical movement of UAV UE. Frequent and large signaling interaction may cause more interference for the terrestrial UE</w:t>
      </w:r>
      <w:r>
        <w:rPr>
          <w:rFonts w:hint="default" w:cs="Times New Roman"/>
          <w:b w:val="0"/>
          <w:bCs w:val="0"/>
          <w:sz w:val="21"/>
          <w:szCs w:val="21"/>
          <w:lang w:val="en-US" w:eastAsia="zh-CN"/>
        </w:rPr>
        <w:t>’</w:t>
      </w:r>
      <w:r>
        <w:rPr>
          <w:rFonts w:hint="eastAsia" w:cs="Times New Roman"/>
          <w:b w:val="0"/>
          <w:bCs w:val="0"/>
          <w:sz w:val="21"/>
          <w:szCs w:val="21"/>
          <w:lang w:val="en-US" w:eastAsia="zh-CN"/>
        </w:rPr>
        <w:t>s communication. Besides, waiting for the new configuration from the NW after reception of the height report may cause the new configuration becomes unsuitable/outdated when received by the UE. It may delay the vertical movement of UAV UE.</w:t>
      </w:r>
    </w:p>
    <w:p>
      <w:pPr>
        <w:keepNext w:val="0"/>
        <w:keepLines w:val="0"/>
        <w:pageBreakBefore w:val="0"/>
        <w:widowControl w:val="0"/>
        <w:kinsoku/>
        <w:wordWrap/>
        <w:overflowPunct/>
        <w:topLinePunct w:val="0"/>
        <w:autoSpaceDE/>
        <w:autoSpaceDN/>
        <w:bidi w:val="0"/>
        <w:adjustRightInd/>
        <w:snapToGrid/>
        <w:spacing w:after="120" w:line="20" w:lineRule="atLeast"/>
        <w:textAlignment w:val="auto"/>
        <w:rPr>
          <w:rFonts w:hint="default" w:cs="Times New Roman"/>
          <w:b w:val="0"/>
          <w:bCs w:val="0"/>
          <w:sz w:val="21"/>
          <w:szCs w:val="21"/>
          <w:lang w:val="en-US" w:eastAsia="zh-CN"/>
        </w:rPr>
      </w:pPr>
      <w:r>
        <w:rPr>
          <w:rFonts w:hint="eastAsia" w:cs="Times New Roman"/>
          <w:i/>
          <w:iCs/>
          <w:sz w:val="21"/>
          <w:szCs w:val="21"/>
          <w:lang w:val="en-US" w:eastAsia="zh-CN"/>
        </w:rPr>
        <w:t>Observation 6: In high-speed vertical movement scenario, frequent RRM reconfiguration from the NW after reception of the height report may cause more serious interference due to the frequent and large signaling interaction. It may also delay the triggering of vertical mobility for UAV UE.</w:t>
      </w:r>
    </w:p>
    <w:p>
      <w:pPr>
        <w:widowControl w:val="0"/>
        <w:numPr>
          <w:ilvl w:val="0"/>
          <w:numId w:val="0"/>
        </w:numPr>
        <w:ind w:leftChars="0"/>
        <w:jc w:val="both"/>
        <w:rPr>
          <w:rFonts w:hint="default" w:cs="Times New Roman"/>
          <w:b w:val="0"/>
          <w:bCs w:val="0"/>
          <w:sz w:val="21"/>
          <w:szCs w:val="21"/>
          <w:lang w:val="en-US" w:eastAsia="zh-CN"/>
        </w:rPr>
      </w:pPr>
      <w:r>
        <w:rPr>
          <w:rFonts w:hint="eastAsia" w:cs="Times New Roman"/>
          <w:b w:val="0"/>
          <w:bCs w:val="0"/>
          <w:sz w:val="21"/>
          <w:szCs w:val="21"/>
          <w:lang w:val="en-US" w:eastAsia="zh-CN"/>
        </w:rPr>
        <w:t>For issue d), it</w:t>
      </w:r>
      <w:r>
        <w:rPr>
          <w:rFonts w:hint="default" w:cs="Times New Roman"/>
          <w:b w:val="0"/>
          <w:bCs w:val="0"/>
          <w:sz w:val="21"/>
          <w:szCs w:val="21"/>
          <w:lang w:val="en-US" w:eastAsia="zh-CN"/>
        </w:rPr>
        <w:t>’</w:t>
      </w:r>
      <w:r>
        <w:rPr>
          <w:rFonts w:hint="eastAsia" w:cs="Times New Roman"/>
          <w:b w:val="0"/>
          <w:bCs w:val="0"/>
          <w:sz w:val="21"/>
          <w:szCs w:val="21"/>
          <w:lang w:val="en-US" w:eastAsia="zh-CN"/>
        </w:rPr>
        <w:t>s truly difficult for the NW to know and properly configure the LOS/NLOS boundary. Even though it would be beneficial to have different RRM configuration (e.g. height-dependent event threshold, TTT) for LOS condition and NLOS condition, NW may be unable to set the suitable configuration in the realistic NW.</w:t>
      </w:r>
    </w:p>
    <w:p>
      <w:pPr>
        <w:widowControl w:val="0"/>
        <w:numPr>
          <w:ilvl w:val="0"/>
          <w:numId w:val="0"/>
        </w:numPr>
        <w:ind w:leftChars="0"/>
        <w:jc w:val="both"/>
        <w:rPr>
          <w:rFonts w:hint="default" w:cs="Times New Roman"/>
          <w:b w:val="0"/>
          <w:bCs w:val="0"/>
          <w:sz w:val="21"/>
          <w:szCs w:val="21"/>
          <w:lang w:val="en-US" w:eastAsia="zh-CN"/>
        </w:rPr>
      </w:pPr>
      <w:r>
        <w:rPr>
          <w:rFonts w:hint="eastAsia" w:cs="Times New Roman"/>
          <w:b w:val="0"/>
          <w:bCs w:val="0"/>
          <w:sz w:val="21"/>
          <w:szCs w:val="21"/>
          <w:lang w:val="en-US" w:eastAsia="zh-CN"/>
        </w:rPr>
        <w:t xml:space="preserve">Based on the analysis above, we think at least height-dependent RS/beam configuration can be considered. </w:t>
      </w:r>
      <w:r>
        <w:rPr>
          <w:rFonts w:hint="default" w:cs="Times New Roman"/>
          <w:b w:val="0"/>
          <w:bCs w:val="0"/>
          <w:sz w:val="21"/>
          <w:szCs w:val="21"/>
          <w:lang w:val="en-US" w:eastAsia="zh-CN"/>
        </w:rPr>
        <w:t xml:space="preserve">When UAV UE is flying in certain </w:t>
      </w:r>
      <w:r>
        <w:rPr>
          <w:rFonts w:hint="eastAsia" w:cs="Times New Roman"/>
          <w:b w:val="0"/>
          <w:bCs w:val="0"/>
          <w:sz w:val="21"/>
          <w:szCs w:val="21"/>
          <w:lang w:val="en-US" w:eastAsia="zh-CN"/>
        </w:rPr>
        <w:t>height</w:t>
      </w:r>
      <w:r>
        <w:rPr>
          <w:rFonts w:hint="default" w:cs="Times New Roman"/>
          <w:b w:val="0"/>
          <w:bCs w:val="0"/>
          <w:sz w:val="21"/>
          <w:szCs w:val="21"/>
          <w:lang w:val="en-US" w:eastAsia="zh-CN"/>
        </w:rPr>
        <w:t>, it may detect side lobes from far away cells. Unfortunately, the side lobes of faraway cell have impact on UAV UE’s mobility performance. It may be beneficial to exclude the impact of side lobes from far away cells. One potential way is to configure a proper SSB to measure which exclude these beams. In addition, some beams are not intended for UAV UE. But the UAV UE may detect the beam are reflected to the air.</w:t>
      </w:r>
      <w:r>
        <w:rPr>
          <w:rFonts w:hint="eastAsia" w:cs="Times New Roman"/>
          <w:b w:val="0"/>
          <w:bCs w:val="0"/>
          <w:sz w:val="21"/>
          <w:szCs w:val="21"/>
          <w:lang w:val="en-US" w:eastAsia="zh-CN"/>
        </w:rPr>
        <w:t xml:space="preserve"> So it would be better </w:t>
      </w:r>
      <w:r>
        <w:rPr>
          <w:rFonts w:hint="default" w:cs="Times New Roman"/>
          <w:b w:val="0"/>
          <w:bCs w:val="0"/>
          <w:sz w:val="21"/>
          <w:szCs w:val="21"/>
          <w:lang w:val="en-US" w:eastAsia="zh-CN"/>
        </w:rPr>
        <w:t xml:space="preserve">the network can configure a separate RRM measurement configuration based on the </w:t>
      </w:r>
      <w:r>
        <w:rPr>
          <w:rFonts w:hint="eastAsia" w:cs="Times New Roman"/>
          <w:b w:val="0"/>
          <w:bCs w:val="0"/>
          <w:sz w:val="21"/>
          <w:szCs w:val="21"/>
          <w:lang w:val="en-US" w:eastAsia="zh-CN"/>
        </w:rPr>
        <w:t>height</w:t>
      </w:r>
      <w:r>
        <w:rPr>
          <w:rFonts w:hint="default" w:cs="Times New Roman"/>
          <w:b w:val="0"/>
          <w:bCs w:val="0"/>
          <w:sz w:val="21"/>
          <w:szCs w:val="21"/>
          <w:lang w:val="en-US" w:eastAsia="zh-CN"/>
        </w:rPr>
        <w:t xml:space="preserve"> of UAV UE, e.g. separate SSB-ToMeasure associated with </w:t>
      </w:r>
      <w:r>
        <w:rPr>
          <w:rFonts w:hint="eastAsia" w:cs="Times New Roman"/>
          <w:b w:val="0"/>
          <w:bCs w:val="0"/>
          <w:sz w:val="21"/>
          <w:szCs w:val="21"/>
          <w:lang w:val="en-US" w:eastAsia="zh-CN"/>
        </w:rPr>
        <w:t>height</w:t>
      </w:r>
      <w:r>
        <w:rPr>
          <w:rFonts w:hint="default" w:cs="Times New Roman"/>
          <w:b w:val="0"/>
          <w:bCs w:val="0"/>
          <w:sz w:val="21"/>
          <w:szCs w:val="21"/>
          <w:lang w:val="en-US" w:eastAsia="zh-CN"/>
        </w:rPr>
        <w:t xml:space="preserve"> threshold. This approach is beneficial for UAV UE’s power saving by not performing measurement on the unneeded beam</w:t>
      </w:r>
      <w:r>
        <w:rPr>
          <w:rFonts w:hint="eastAsia" w:cs="Times New Roman"/>
          <w:b w:val="0"/>
          <w:bCs w:val="0"/>
          <w:sz w:val="21"/>
          <w:szCs w:val="21"/>
          <w:lang w:val="en-US" w:eastAsia="zh-CN"/>
        </w:rPr>
        <w:t xml:space="preserve"> in a certain height range</w:t>
      </w:r>
      <w:r>
        <w:rPr>
          <w:rFonts w:hint="default" w:cs="Times New Roman"/>
          <w:b w:val="0"/>
          <w:bCs w:val="0"/>
          <w:sz w:val="21"/>
          <w:szCs w:val="21"/>
          <w:lang w:val="en-US" w:eastAsia="zh-CN"/>
        </w:rPr>
        <w:t xml:space="preserve">. And it is also beneficial for mobility performance by avoid the impact of side lobe from far away cells. </w:t>
      </w:r>
    </w:p>
    <w:p>
      <w:pPr>
        <w:widowControl w:val="0"/>
        <w:numPr>
          <w:ilvl w:val="0"/>
          <w:numId w:val="0"/>
        </w:numPr>
        <w:ind w:leftChars="0"/>
        <w:jc w:val="both"/>
        <w:rPr>
          <w:rFonts w:hint="default" w:cs="Times New Roman"/>
          <w:b w:val="0"/>
          <w:bCs w:val="0"/>
          <w:i/>
          <w:iCs/>
          <w:sz w:val="21"/>
          <w:szCs w:val="21"/>
          <w:lang w:val="en-US" w:eastAsia="zh-CN"/>
        </w:rPr>
      </w:pPr>
      <w:r>
        <w:rPr>
          <w:rFonts w:hint="eastAsia" w:cs="Times New Roman"/>
          <w:i/>
          <w:iCs/>
          <w:sz w:val="20"/>
          <w:szCs w:val="20"/>
          <w:lang w:val="en-US" w:eastAsia="zh-CN"/>
        </w:rPr>
        <w:t>Observation 7: H</w:t>
      </w:r>
      <w:r>
        <w:rPr>
          <w:rFonts w:hint="eastAsia" w:cs="Times New Roman"/>
          <w:b w:val="0"/>
          <w:bCs w:val="0"/>
          <w:i/>
          <w:iCs/>
          <w:sz w:val="21"/>
          <w:szCs w:val="21"/>
          <w:lang w:val="en-US" w:eastAsia="zh-CN"/>
        </w:rPr>
        <w:t>eight-dependent RS/beam configuration is beneficial for UAV UE</w:t>
      </w:r>
      <w:r>
        <w:rPr>
          <w:rFonts w:hint="default" w:cs="Times New Roman"/>
          <w:b w:val="0"/>
          <w:bCs w:val="0"/>
          <w:i/>
          <w:iCs/>
          <w:sz w:val="21"/>
          <w:szCs w:val="21"/>
          <w:lang w:val="en-US" w:eastAsia="zh-CN"/>
        </w:rPr>
        <w:t>’</w:t>
      </w:r>
      <w:r>
        <w:rPr>
          <w:rFonts w:hint="eastAsia" w:cs="Times New Roman"/>
          <w:b w:val="0"/>
          <w:bCs w:val="0"/>
          <w:i/>
          <w:iCs/>
          <w:sz w:val="21"/>
          <w:szCs w:val="21"/>
          <w:lang w:val="en-US" w:eastAsia="zh-CN"/>
        </w:rPr>
        <w:t xml:space="preserve">s power saving by not performing measurement on the unneeded beam in a certain height range, as well as for mobility performance by avoid the impact of side lobe from far away cells. </w:t>
      </w:r>
    </w:p>
    <w:p>
      <w:pPr>
        <w:widowControl w:val="0"/>
        <w:numPr>
          <w:ilvl w:val="0"/>
          <w:numId w:val="0"/>
        </w:numPr>
        <w:ind w:leftChars="0"/>
        <w:jc w:val="both"/>
        <w:rPr>
          <w:rFonts w:hint="eastAsia" w:cs="Times New Roman"/>
          <w:b/>
          <w:bCs/>
          <w:sz w:val="21"/>
          <w:szCs w:val="21"/>
          <w:lang w:val="en-US" w:eastAsia="zh-CN"/>
        </w:rPr>
      </w:pPr>
      <w:r>
        <w:rPr>
          <w:rFonts w:hint="default" w:cs="Times New Roman"/>
          <w:b/>
          <w:bCs/>
          <w:sz w:val="21"/>
          <w:szCs w:val="21"/>
          <w:lang w:val="en-US" w:eastAsia="zh-CN"/>
        </w:rPr>
        <w:t xml:space="preserve">Proposal </w:t>
      </w:r>
      <w:r>
        <w:rPr>
          <w:rFonts w:hint="eastAsia" w:cs="Times New Roman"/>
          <w:b/>
          <w:bCs/>
          <w:sz w:val="21"/>
          <w:szCs w:val="21"/>
          <w:lang w:val="en-US" w:eastAsia="zh-CN"/>
        </w:rPr>
        <w:t>9</w:t>
      </w:r>
      <w:r>
        <w:rPr>
          <w:rFonts w:hint="default" w:cs="Times New Roman"/>
          <w:b/>
          <w:bCs/>
          <w:sz w:val="21"/>
          <w:szCs w:val="21"/>
          <w:lang w:val="en-US" w:eastAsia="zh-CN"/>
        </w:rPr>
        <w:t xml:space="preserve">: </w:t>
      </w:r>
      <w:r>
        <w:rPr>
          <w:rFonts w:hint="eastAsia" w:cs="Times New Roman"/>
          <w:b/>
          <w:bCs/>
          <w:sz w:val="21"/>
          <w:szCs w:val="21"/>
          <w:lang w:val="en-US" w:eastAsia="zh-CN"/>
        </w:rPr>
        <w:t>RAN2 to i</w:t>
      </w:r>
      <w:r>
        <w:rPr>
          <w:rFonts w:hint="default" w:cs="Times New Roman"/>
          <w:b/>
          <w:bCs/>
          <w:sz w:val="21"/>
          <w:szCs w:val="21"/>
          <w:lang w:val="en-US" w:eastAsia="zh-CN"/>
        </w:rPr>
        <w:t xml:space="preserve">ntroduce </w:t>
      </w:r>
      <w:r>
        <w:rPr>
          <w:rFonts w:hint="eastAsia" w:cs="Times New Roman"/>
          <w:b/>
          <w:bCs/>
          <w:sz w:val="21"/>
          <w:szCs w:val="21"/>
          <w:lang w:val="en-US" w:eastAsia="zh-CN"/>
        </w:rPr>
        <w:t>height-dependent RRM configuration for NR UAV</w:t>
      </w:r>
      <w:r>
        <w:rPr>
          <w:rFonts w:hint="default" w:cs="Times New Roman"/>
          <w:b/>
          <w:bCs/>
          <w:sz w:val="21"/>
          <w:szCs w:val="21"/>
          <w:lang w:val="en-US" w:eastAsia="zh-CN"/>
        </w:rPr>
        <w:t xml:space="preserve">, </w:t>
      </w:r>
      <w:r>
        <w:rPr>
          <w:rFonts w:hint="eastAsia" w:cs="Times New Roman"/>
          <w:b/>
          <w:bCs/>
          <w:sz w:val="21"/>
          <w:szCs w:val="21"/>
          <w:lang w:val="en-US" w:eastAsia="zh-CN"/>
        </w:rPr>
        <w:t xml:space="preserve">at least for height-dependent beam/RS configuration (e.g. </w:t>
      </w:r>
      <w:r>
        <w:rPr>
          <w:rFonts w:hint="default" w:cs="Times New Roman"/>
          <w:b/>
          <w:bCs/>
          <w:i/>
          <w:iCs/>
          <w:sz w:val="21"/>
          <w:szCs w:val="21"/>
          <w:lang w:val="en-US" w:eastAsia="zh-CN"/>
        </w:rPr>
        <w:t>SSB-ToMeasure</w:t>
      </w:r>
      <w:r>
        <w:rPr>
          <w:rFonts w:hint="eastAsia" w:cs="Times New Roman"/>
          <w:b/>
          <w:bCs/>
          <w:sz w:val="21"/>
          <w:szCs w:val="21"/>
          <w:lang w:val="en-US" w:eastAsia="zh-CN"/>
        </w:rPr>
        <w:t>),</w:t>
      </w:r>
      <w:r>
        <w:rPr>
          <w:rFonts w:hint="default" w:cs="Times New Roman"/>
          <w:b/>
          <w:bCs/>
          <w:sz w:val="21"/>
          <w:szCs w:val="21"/>
          <w:lang w:val="en-US" w:eastAsia="zh-CN"/>
        </w:rPr>
        <w:t xml:space="preserve"> to avoid un</w:t>
      </w:r>
      <w:r>
        <w:rPr>
          <w:rFonts w:hint="eastAsia" w:cs="Times New Roman"/>
          <w:b/>
          <w:bCs/>
          <w:sz w:val="21"/>
          <w:szCs w:val="21"/>
          <w:lang w:val="en-US" w:eastAsia="zh-CN"/>
        </w:rPr>
        <w:t>desired</w:t>
      </w:r>
      <w:r>
        <w:rPr>
          <w:rFonts w:hint="default" w:cs="Times New Roman"/>
          <w:b/>
          <w:bCs/>
          <w:sz w:val="21"/>
          <w:szCs w:val="21"/>
          <w:lang w:val="en-US" w:eastAsia="zh-CN"/>
        </w:rPr>
        <w:t xml:space="preserve"> RRM measurement</w:t>
      </w:r>
      <w:r>
        <w:rPr>
          <w:rFonts w:hint="eastAsia" w:cs="Times New Roman"/>
          <w:b/>
          <w:bCs/>
          <w:sz w:val="21"/>
          <w:szCs w:val="21"/>
          <w:lang w:val="en-US" w:eastAsia="zh-CN"/>
        </w:rPr>
        <w:t xml:space="preserve"> and mobility</w:t>
      </w:r>
      <w:r>
        <w:rPr>
          <w:rFonts w:hint="default" w:cs="Times New Roman"/>
          <w:b/>
          <w:bCs/>
          <w:sz w:val="21"/>
          <w:szCs w:val="21"/>
          <w:lang w:val="en-US" w:eastAsia="zh-CN"/>
        </w:rPr>
        <w:t xml:space="preserve"> on the beams not intended for UAV UE and side lobe</w:t>
      </w:r>
      <w:r>
        <w:rPr>
          <w:rFonts w:hint="eastAsia" w:cs="Times New Roman"/>
          <w:b/>
          <w:bCs/>
          <w:sz w:val="21"/>
          <w:szCs w:val="21"/>
          <w:lang w:val="en-US" w:eastAsia="zh-CN"/>
        </w:rPr>
        <w:t>s</w:t>
      </w:r>
      <w:r>
        <w:rPr>
          <w:rFonts w:hint="default" w:cs="Times New Roman"/>
          <w:b/>
          <w:bCs/>
          <w:sz w:val="21"/>
          <w:szCs w:val="21"/>
          <w:lang w:val="en-US" w:eastAsia="zh-CN"/>
        </w:rPr>
        <w:t xml:space="preserve"> from far away cells.</w:t>
      </w:r>
      <w:r>
        <w:rPr>
          <w:rFonts w:hint="eastAsia" w:cs="Times New Roman"/>
          <w:b/>
          <w:bCs/>
          <w:sz w:val="21"/>
          <w:szCs w:val="21"/>
          <w:lang w:val="en-US" w:eastAsia="zh-CN"/>
        </w:rPr>
        <w:t xml:space="preserve"> FFS: other height-dependent parameters.</w:t>
      </w:r>
    </w:p>
    <w:p>
      <w:pPr>
        <w:pStyle w:val="3"/>
        <w:numPr>
          <w:ilvl w:val="1"/>
          <w:numId w:val="0"/>
        </w:numPr>
        <w:bidi w:val="0"/>
        <w:ind w:leftChars="0"/>
        <w:rPr>
          <w:rFonts w:hint="default"/>
          <w:lang w:val="en-US" w:eastAsia="zh-CN"/>
        </w:rPr>
      </w:pPr>
      <w:r>
        <w:rPr>
          <w:rFonts w:hint="eastAsia"/>
          <w:lang w:val="en-US" w:eastAsia="zh-CN"/>
        </w:rPr>
        <w:t>2.2 Interference management</w:t>
      </w:r>
    </w:p>
    <w:p>
      <w:pPr>
        <w:widowControl w:val="0"/>
        <w:numPr>
          <w:ilvl w:val="0"/>
          <w:numId w:val="0"/>
        </w:numPr>
        <w:ind w:leftChars="0"/>
        <w:jc w:val="both"/>
        <w:rPr>
          <w:rFonts w:hint="eastAsia" w:cs="Times New Roman"/>
          <w:b w:val="0"/>
          <w:bCs w:val="0"/>
          <w:sz w:val="21"/>
          <w:szCs w:val="21"/>
          <w:lang w:val="en-US" w:eastAsia="zh-CN"/>
        </w:rPr>
      </w:pPr>
      <w:r>
        <w:rPr>
          <w:rFonts w:hint="eastAsia" w:cs="Times New Roman"/>
          <w:b w:val="0"/>
          <w:bCs w:val="0"/>
          <w:sz w:val="21"/>
          <w:szCs w:val="21"/>
          <w:lang w:val="en-US" w:eastAsia="zh-CN"/>
        </w:rPr>
        <w:t>In the post RAN2#120 offline discussion [Post120][313][UAV] Interference Control for UAVs [2], following proposal is made on issue whether the Number of triggering cells mechanism should be extended to apply to the inter-RAT scenario, i.e. event B1 and B2 triggering:</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97" w:type="dxa"/>
          </w:tcPr>
          <w:p>
            <w:pPr>
              <w:widowControl w:val="0"/>
              <w:numPr>
                <w:ilvl w:val="0"/>
                <w:numId w:val="0"/>
              </w:numPr>
              <w:ind w:leftChars="0"/>
              <w:jc w:val="both"/>
              <w:rPr>
                <w:rFonts w:hint="default" w:cs="Times New Roman"/>
                <w:b w:val="0"/>
                <w:bCs w:val="0"/>
                <w:sz w:val="21"/>
                <w:szCs w:val="21"/>
                <w:lang w:val="en-US" w:eastAsia="zh-CN"/>
              </w:rPr>
            </w:pPr>
            <w:r>
              <w:rPr>
                <w:rFonts w:hint="eastAsia" w:cs="Times New Roman"/>
                <w:b/>
                <w:bCs/>
                <w:sz w:val="21"/>
                <w:szCs w:val="21"/>
                <w:lang w:val="en-GB" w:eastAsia="zh-CN"/>
              </w:rPr>
              <w:t>P1: Do not extend the Number of triggering cells mechanism to apply to the inter-RAT scenario, i.e. event B1 and B2 triggering.</w:t>
            </w:r>
          </w:p>
        </w:tc>
      </w:tr>
    </w:tbl>
    <w:p>
      <w:pPr>
        <w:widowControl w:val="0"/>
        <w:numPr>
          <w:ilvl w:val="0"/>
          <w:numId w:val="0"/>
        </w:numPr>
        <w:ind w:leftChars="0"/>
        <w:jc w:val="both"/>
        <w:rPr>
          <w:rFonts w:hint="eastAsia" w:cs="Times New Roman"/>
          <w:b w:val="0"/>
          <w:bCs w:val="0"/>
          <w:sz w:val="21"/>
          <w:szCs w:val="21"/>
          <w:lang w:val="en-US" w:eastAsia="zh-CN"/>
        </w:rPr>
      </w:pPr>
      <w:r>
        <w:rPr>
          <w:rFonts w:hint="eastAsia" w:cs="Times New Roman"/>
          <w:b w:val="0"/>
          <w:bCs w:val="0"/>
          <w:sz w:val="21"/>
          <w:szCs w:val="21"/>
          <w:lang w:val="en-US" w:eastAsia="zh-CN"/>
        </w:rPr>
        <w:t xml:space="preserve">However, we still have different view with this proposal. </w:t>
      </w:r>
    </w:p>
    <w:p>
      <w:pPr>
        <w:widowControl w:val="0"/>
        <w:numPr>
          <w:ilvl w:val="0"/>
          <w:numId w:val="0"/>
        </w:numPr>
        <w:ind w:leftChars="0"/>
        <w:jc w:val="both"/>
        <w:rPr>
          <w:rFonts w:hint="eastAsia" w:cs="Times New Roman"/>
          <w:b w:val="0"/>
          <w:bCs w:val="0"/>
          <w:sz w:val="21"/>
          <w:szCs w:val="21"/>
          <w:lang w:val="en-US" w:eastAsia="zh-CN"/>
        </w:rPr>
      </w:pPr>
      <w:r>
        <w:rPr>
          <w:rFonts w:hint="eastAsia" w:cs="Times New Roman"/>
          <w:b w:val="0"/>
          <w:bCs w:val="0"/>
          <w:sz w:val="21"/>
          <w:szCs w:val="21"/>
          <w:lang w:val="en-US" w:eastAsia="zh-CN"/>
        </w:rPr>
        <w:t>First of all, we can assume reasonably that the Number of triggering cells mechanism is designed for interference detection, but not for mobility control, since the Number of triggering cells mechanism will certainly delay measurement report. This is contradictory to the requirement of mobility control which requires rapid response, especially when UAV UE moves rapidly in the vertical direction.</w:t>
      </w:r>
    </w:p>
    <w:p>
      <w:pPr>
        <w:widowControl w:val="0"/>
        <w:numPr>
          <w:ilvl w:val="0"/>
          <w:numId w:val="0"/>
        </w:numPr>
        <w:ind w:leftChars="0"/>
        <w:jc w:val="both"/>
        <w:rPr>
          <w:rFonts w:hint="default" w:cs="Times New Roman"/>
          <w:i/>
          <w:iCs/>
          <w:sz w:val="21"/>
          <w:szCs w:val="21"/>
          <w:lang w:val="en-US" w:eastAsia="zh-CN"/>
        </w:rPr>
      </w:pPr>
      <w:r>
        <w:rPr>
          <w:rFonts w:hint="default" w:cs="Times New Roman"/>
          <w:i/>
          <w:iCs/>
          <w:sz w:val="21"/>
          <w:szCs w:val="21"/>
          <w:lang w:val="en-US" w:eastAsia="zh-CN"/>
        </w:rPr>
        <w:t xml:space="preserve">Observation </w:t>
      </w:r>
      <w:r>
        <w:rPr>
          <w:rFonts w:hint="eastAsia" w:cs="Times New Roman"/>
          <w:i/>
          <w:iCs/>
          <w:sz w:val="21"/>
          <w:szCs w:val="21"/>
          <w:lang w:val="en-US" w:eastAsia="zh-CN"/>
        </w:rPr>
        <w:t>8</w:t>
      </w:r>
      <w:r>
        <w:rPr>
          <w:rFonts w:hint="default" w:cs="Times New Roman"/>
          <w:i/>
          <w:iCs/>
          <w:sz w:val="21"/>
          <w:szCs w:val="21"/>
          <w:lang w:val="en-US" w:eastAsia="zh-CN"/>
        </w:rPr>
        <w:t xml:space="preserve">: </w:t>
      </w:r>
      <w:r>
        <w:rPr>
          <w:rFonts w:hint="eastAsia" w:cs="Times New Roman"/>
          <w:i/>
          <w:iCs/>
          <w:sz w:val="21"/>
          <w:szCs w:val="21"/>
          <w:lang w:val="en-US" w:eastAsia="zh-CN"/>
        </w:rPr>
        <w:t>The Number of triggering cells mechanism is designed for interference detection when UAV UE flies in the air, but not for mobility management.</w:t>
      </w:r>
    </w:p>
    <w:p>
      <w:pPr>
        <w:widowControl w:val="0"/>
        <w:numPr>
          <w:ilvl w:val="0"/>
          <w:numId w:val="0"/>
        </w:numPr>
        <w:ind w:leftChars="0"/>
        <w:jc w:val="both"/>
        <w:rPr>
          <w:rFonts w:hint="eastAsia" w:cs="Times New Roman"/>
          <w:b w:val="0"/>
          <w:bCs w:val="0"/>
          <w:sz w:val="21"/>
          <w:szCs w:val="21"/>
          <w:lang w:val="en-US" w:eastAsia="zh-CN"/>
        </w:rPr>
      </w:pPr>
      <w:r>
        <w:rPr>
          <w:rFonts w:hint="eastAsia" w:cs="Times New Roman"/>
          <w:b w:val="0"/>
          <w:bCs w:val="0"/>
          <w:sz w:val="21"/>
          <w:szCs w:val="21"/>
          <w:lang w:val="en-US" w:eastAsia="zh-CN"/>
        </w:rPr>
        <w:t xml:space="preserve">Thus whether to extend this mechanism to inter-RAT case depends on whether interference detection for inter-RAT cells is necessary. Per our understanding, in some deployments, NR and LTE share same frequency. When UAV fly in the air, both the NR and LTE signal will be in LOS condition. The interference caused by LTE cell also cannot be ignored for interference management. </w:t>
      </w:r>
    </w:p>
    <w:p>
      <w:pPr>
        <w:widowControl w:val="0"/>
        <w:numPr>
          <w:ilvl w:val="0"/>
          <w:numId w:val="0"/>
        </w:numPr>
        <w:ind w:leftChars="0"/>
        <w:jc w:val="both"/>
        <w:rPr>
          <w:rFonts w:hint="eastAsia" w:cs="Times New Roman"/>
          <w:b w:val="0"/>
          <w:bCs w:val="0"/>
          <w:sz w:val="21"/>
          <w:szCs w:val="21"/>
          <w:lang w:val="en-US" w:eastAsia="zh-CN"/>
        </w:rPr>
      </w:pPr>
      <w:r>
        <w:rPr>
          <w:rFonts w:hint="eastAsia" w:cs="Times New Roman"/>
          <w:b w:val="0"/>
          <w:bCs w:val="0"/>
          <w:sz w:val="21"/>
          <w:szCs w:val="21"/>
          <w:lang w:val="en-US" w:eastAsia="zh-CN"/>
        </w:rPr>
        <w:t>Some companies may argue that inter-RAT mobility case is not frequent for UAV UE. However, as we indicated above, the number Of Triggering cells mechanism is assumed for interference detection but not for mobility. Whether inter-RAT mobility is frequent also depends on mobility policy besides the radio environment.</w:t>
      </w:r>
    </w:p>
    <w:p>
      <w:pPr>
        <w:widowControl w:val="0"/>
        <w:numPr>
          <w:ilvl w:val="0"/>
          <w:numId w:val="0"/>
        </w:numPr>
        <w:ind w:leftChars="0"/>
        <w:jc w:val="both"/>
        <w:rPr>
          <w:rFonts w:hint="eastAsia" w:cs="Times New Roman"/>
          <w:b w:val="0"/>
          <w:bCs w:val="0"/>
          <w:sz w:val="21"/>
          <w:szCs w:val="21"/>
          <w:lang w:val="en-US" w:eastAsia="zh-CN"/>
        </w:rPr>
      </w:pPr>
      <w:r>
        <w:rPr>
          <w:rFonts w:hint="eastAsia" w:cs="Times New Roman"/>
          <w:b w:val="0"/>
          <w:bCs w:val="0"/>
          <w:sz w:val="21"/>
          <w:szCs w:val="21"/>
          <w:lang w:val="en-US" w:eastAsia="zh-CN"/>
        </w:rPr>
        <w:t>Further, after extend this mechanism to Event B1 and B2, there is no need to combine the cell counts across different Events / inter-RAT. The impact on specification for Event B1 and B2 is same as for Event A3, A4 and A5.</w:t>
      </w:r>
    </w:p>
    <w:p>
      <w:pPr>
        <w:widowControl w:val="0"/>
        <w:numPr>
          <w:ilvl w:val="0"/>
          <w:numId w:val="0"/>
        </w:numPr>
        <w:ind w:leftChars="0"/>
        <w:jc w:val="both"/>
        <w:rPr>
          <w:rFonts w:hint="default" w:cs="Times New Roman"/>
          <w:b w:val="0"/>
          <w:bCs w:val="0"/>
          <w:sz w:val="21"/>
          <w:szCs w:val="21"/>
          <w:lang w:val="en-US" w:eastAsia="zh-CN"/>
        </w:rPr>
      </w:pPr>
      <w:r>
        <w:rPr>
          <w:rFonts w:hint="default" w:cs="Times New Roman"/>
          <w:i/>
          <w:iCs/>
          <w:sz w:val="21"/>
          <w:szCs w:val="21"/>
          <w:lang w:val="en-US" w:eastAsia="zh-CN"/>
        </w:rPr>
        <w:t xml:space="preserve">Observation </w:t>
      </w:r>
      <w:r>
        <w:rPr>
          <w:rFonts w:hint="eastAsia" w:cs="Times New Roman"/>
          <w:i/>
          <w:iCs/>
          <w:sz w:val="21"/>
          <w:szCs w:val="21"/>
          <w:lang w:val="en-US" w:eastAsia="zh-CN"/>
        </w:rPr>
        <w:t>9</w:t>
      </w:r>
      <w:r>
        <w:rPr>
          <w:rFonts w:hint="default" w:cs="Times New Roman"/>
          <w:i/>
          <w:iCs/>
          <w:sz w:val="21"/>
          <w:szCs w:val="21"/>
          <w:lang w:val="en-US" w:eastAsia="zh-CN"/>
        </w:rPr>
        <w:t xml:space="preserve">: </w:t>
      </w:r>
      <w:r>
        <w:rPr>
          <w:rFonts w:hint="eastAsia" w:cs="Times New Roman"/>
          <w:i/>
          <w:iCs/>
          <w:sz w:val="21"/>
          <w:szCs w:val="21"/>
          <w:lang w:val="en-US" w:eastAsia="zh-CN"/>
        </w:rPr>
        <w:t>In some deployment and in LOS condition, interference from inter-RAT cells cannot be ignored. The specification impact to support number of triggering cells mechanism for Event B1 and B2 is same as that for Event A3, A4 and A5.</w:t>
      </w:r>
    </w:p>
    <w:p>
      <w:pPr>
        <w:widowControl w:val="0"/>
        <w:numPr>
          <w:ilvl w:val="0"/>
          <w:numId w:val="0"/>
        </w:numPr>
        <w:ind w:leftChars="0"/>
        <w:jc w:val="both"/>
        <w:rPr>
          <w:rFonts w:hint="default" w:cs="Times New Roman"/>
          <w:b/>
          <w:bCs/>
          <w:sz w:val="21"/>
          <w:szCs w:val="21"/>
          <w:lang w:val="en-US" w:eastAsia="zh-CN"/>
        </w:rPr>
      </w:pPr>
      <w:r>
        <w:rPr>
          <w:rFonts w:hint="default" w:cs="Times New Roman"/>
          <w:b/>
          <w:bCs/>
          <w:sz w:val="21"/>
          <w:szCs w:val="21"/>
          <w:lang w:val="en-US" w:eastAsia="zh-CN"/>
        </w:rPr>
        <w:t xml:space="preserve">Proposal </w:t>
      </w:r>
      <w:r>
        <w:rPr>
          <w:rFonts w:hint="eastAsia" w:cs="Times New Roman"/>
          <w:b/>
          <w:bCs/>
          <w:sz w:val="21"/>
          <w:szCs w:val="21"/>
          <w:lang w:val="en-US" w:eastAsia="zh-CN"/>
        </w:rPr>
        <w:t>10</w:t>
      </w:r>
      <w:r>
        <w:rPr>
          <w:rFonts w:hint="default" w:cs="Times New Roman"/>
          <w:b/>
          <w:bCs/>
          <w:sz w:val="21"/>
          <w:szCs w:val="21"/>
          <w:lang w:val="en-US" w:eastAsia="zh-CN"/>
        </w:rPr>
        <w:t>:</w:t>
      </w:r>
      <w:r>
        <w:rPr>
          <w:rFonts w:hint="default" w:cs="Times New Roman"/>
          <w:b/>
          <w:bCs/>
          <w:sz w:val="21"/>
          <w:szCs w:val="21"/>
          <w:lang w:val="en-US" w:eastAsia="zh-CN"/>
        </w:rPr>
        <w:tab/>
      </w:r>
      <w:r>
        <w:rPr>
          <w:rFonts w:hint="default" w:cs="Times New Roman"/>
          <w:b/>
          <w:bCs/>
          <w:sz w:val="21"/>
          <w:szCs w:val="21"/>
          <w:lang w:val="en-US" w:eastAsia="zh-CN"/>
        </w:rPr>
        <w:t xml:space="preserve">RAN 2 to </w:t>
      </w:r>
      <w:r>
        <w:rPr>
          <w:rFonts w:hint="eastAsia" w:cs="Times New Roman"/>
          <w:b/>
          <w:bCs/>
          <w:sz w:val="21"/>
          <w:szCs w:val="21"/>
          <w:lang w:val="en-US" w:eastAsia="zh-CN"/>
        </w:rPr>
        <w:t xml:space="preserve">agree the </w:t>
      </w:r>
      <w:r>
        <w:rPr>
          <w:rFonts w:hint="default" w:cs="Times New Roman"/>
          <w:b/>
          <w:bCs/>
          <w:sz w:val="21"/>
          <w:szCs w:val="21"/>
          <w:lang w:val="en-US" w:eastAsia="zh-CN"/>
        </w:rPr>
        <w:t>number</w:t>
      </w:r>
      <w:r>
        <w:rPr>
          <w:rFonts w:hint="eastAsia" w:cs="Times New Roman"/>
          <w:b/>
          <w:bCs/>
          <w:sz w:val="21"/>
          <w:szCs w:val="21"/>
          <w:lang w:val="en-US" w:eastAsia="zh-CN"/>
        </w:rPr>
        <w:t xml:space="preserve"> of t</w:t>
      </w:r>
      <w:r>
        <w:rPr>
          <w:rFonts w:hint="default" w:cs="Times New Roman"/>
          <w:b/>
          <w:bCs/>
          <w:sz w:val="21"/>
          <w:szCs w:val="21"/>
          <w:lang w:val="en-US" w:eastAsia="zh-CN"/>
        </w:rPr>
        <w:t>riggering</w:t>
      </w:r>
      <w:r>
        <w:rPr>
          <w:rFonts w:hint="eastAsia" w:cs="Times New Roman"/>
          <w:b/>
          <w:bCs/>
          <w:sz w:val="21"/>
          <w:szCs w:val="21"/>
          <w:lang w:val="en-US" w:eastAsia="zh-CN"/>
        </w:rPr>
        <w:t xml:space="preserve"> c</w:t>
      </w:r>
      <w:r>
        <w:rPr>
          <w:rFonts w:hint="default" w:cs="Times New Roman"/>
          <w:b/>
          <w:bCs/>
          <w:sz w:val="21"/>
          <w:szCs w:val="21"/>
          <w:lang w:val="en-US" w:eastAsia="zh-CN"/>
        </w:rPr>
        <w:t xml:space="preserve">ells </w:t>
      </w:r>
      <w:r>
        <w:rPr>
          <w:rFonts w:hint="eastAsia" w:cs="Times New Roman"/>
          <w:b/>
          <w:bCs/>
          <w:sz w:val="21"/>
          <w:szCs w:val="21"/>
          <w:lang w:val="en-US" w:eastAsia="zh-CN"/>
        </w:rPr>
        <w:t>mechanism is extended to</w:t>
      </w:r>
      <w:r>
        <w:rPr>
          <w:rFonts w:hint="default" w:cs="Times New Roman"/>
          <w:b/>
          <w:bCs/>
          <w:sz w:val="21"/>
          <w:szCs w:val="21"/>
          <w:lang w:val="en-US" w:eastAsia="zh-CN"/>
        </w:rPr>
        <w:t xml:space="preserve"> Events B1 and B2.</w:t>
      </w:r>
    </w:p>
    <w:p>
      <w:pPr>
        <w:widowControl w:val="0"/>
        <w:numPr>
          <w:ilvl w:val="0"/>
          <w:numId w:val="0"/>
        </w:numPr>
        <w:ind w:leftChars="0"/>
        <w:jc w:val="both"/>
        <w:rPr>
          <w:rFonts w:hint="default" w:cs="Times New Roman"/>
          <w:b w:val="0"/>
          <w:bCs w:val="0"/>
          <w:sz w:val="21"/>
          <w:szCs w:val="21"/>
          <w:lang w:val="en-US" w:eastAsia="zh-CN"/>
        </w:rPr>
      </w:pPr>
      <w:r>
        <w:rPr>
          <w:rFonts w:hint="default" w:cs="Times New Roman"/>
          <w:b w:val="0"/>
          <w:bCs w:val="0"/>
          <w:sz w:val="21"/>
          <w:szCs w:val="21"/>
          <w:lang w:val="en-US" w:eastAsia="zh-CN"/>
        </w:rPr>
        <w:t xml:space="preserve">In LTE, interference detection is based on individual (per cell) RSRP values for a configured number of cells fulfilling the configured event. However, in NR, the cell quality is derived based on the consolidation of one or multiple beam measurements. So the interference detection requirement may differ from the LTE, e.g. one or two beams from the neighbour cells with strong RSRP are possible to cause interference to the serving cell. </w:t>
      </w:r>
    </w:p>
    <w:p>
      <w:pPr>
        <w:widowControl w:val="0"/>
        <w:numPr>
          <w:ilvl w:val="0"/>
          <w:numId w:val="0"/>
        </w:numPr>
        <w:ind w:leftChars="0"/>
        <w:jc w:val="both"/>
        <w:rPr>
          <w:rFonts w:hint="default" w:cs="Times New Roman"/>
          <w:i/>
          <w:iCs/>
          <w:sz w:val="21"/>
          <w:szCs w:val="21"/>
          <w:lang w:val="en-US" w:eastAsia="zh-CN"/>
        </w:rPr>
      </w:pPr>
      <w:r>
        <w:rPr>
          <w:rFonts w:hint="default" w:cs="Times New Roman"/>
          <w:i/>
          <w:iCs/>
          <w:sz w:val="21"/>
          <w:szCs w:val="21"/>
          <w:lang w:val="en-US" w:eastAsia="zh-CN"/>
        </w:rPr>
        <w:t xml:space="preserve">Observation </w:t>
      </w:r>
      <w:r>
        <w:rPr>
          <w:rFonts w:hint="eastAsia" w:cs="Times New Roman"/>
          <w:i/>
          <w:iCs/>
          <w:sz w:val="21"/>
          <w:szCs w:val="21"/>
          <w:lang w:val="en-US" w:eastAsia="zh-CN"/>
        </w:rPr>
        <w:t>10</w:t>
      </w:r>
      <w:r>
        <w:rPr>
          <w:rFonts w:hint="default" w:cs="Times New Roman"/>
          <w:i/>
          <w:iCs/>
          <w:sz w:val="21"/>
          <w:szCs w:val="21"/>
          <w:lang w:val="en-US" w:eastAsia="zh-CN"/>
        </w:rPr>
        <w:t xml:space="preserve">: In NR, the cell quality is derived based on the consolidation of one or multiple beam measurements. The interference detection requirement may differ from the LTE, e.g. one or two beams from the neighbour cells with strong RSRP are possible to cause interference to the serving cell. </w:t>
      </w:r>
    </w:p>
    <w:p>
      <w:pPr>
        <w:keepNext w:val="0"/>
        <w:keepLines w:val="0"/>
        <w:pageBreakBefore w:val="0"/>
        <w:widowControl w:val="0"/>
        <w:numPr>
          <w:ilvl w:val="0"/>
          <w:numId w:val="0"/>
        </w:numPr>
        <w:kinsoku/>
        <w:wordWrap/>
        <w:overflowPunct/>
        <w:topLinePunct w:val="0"/>
        <w:autoSpaceDE/>
        <w:autoSpaceDN/>
        <w:bidi w:val="0"/>
        <w:adjustRightInd/>
        <w:snapToGrid/>
        <w:spacing w:after="0" w:line="20" w:lineRule="atLeast"/>
        <w:jc w:val="both"/>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 xml:space="preserve">So RAN2 can consider whether some enhancements on the interference detection in NR is needed, e.g. configure another criteria or parameters for cell quality derivation on interference detection. For example, the NW can configure a </w:t>
      </w:r>
      <w:r>
        <w:rPr>
          <w:rFonts w:hint="eastAsia" w:cs="Times New Roman"/>
          <w:b w:val="0"/>
          <w:bCs w:val="0"/>
          <w:sz w:val="21"/>
          <w:szCs w:val="21"/>
          <w:lang w:val="en-US" w:eastAsia="zh-CN"/>
        </w:rPr>
        <w:t>smaller</w:t>
      </w:r>
      <w:r>
        <w:rPr>
          <w:rFonts w:hint="default" w:ascii="Times New Roman" w:hAnsi="Times New Roman" w:cs="Times New Roman"/>
          <w:b w:val="0"/>
          <w:bCs w:val="0"/>
          <w:sz w:val="21"/>
          <w:szCs w:val="21"/>
          <w:lang w:val="en-US" w:eastAsia="zh-CN"/>
        </w:rPr>
        <w:t xml:space="preserve"> RS number to average for </w:t>
      </w:r>
      <w:r>
        <w:rPr>
          <w:rFonts w:hint="default" w:ascii="Times New Roman" w:hAnsi="Times New Roman" w:cs="Times New Roman"/>
          <w:sz w:val="21"/>
          <w:szCs w:val="21"/>
          <w:lang w:eastAsia="en-GB"/>
        </w:rPr>
        <w:t>cell measurement derivation</w:t>
      </w:r>
      <w:r>
        <w:rPr>
          <w:rFonts w:hint="default" w:ascii="Times New Roman" w:hAnsi="Times New Roman" w:cs="Times New Roman"/>
          <w:b w:val="0"/>
          <w:bCs w:val="0"/>
          <w:sz w:val="21"/>
          <w:szCs w:val="21"/>
          <w:lang w:val="en-US" w:eastAsia="zh-CN"/>
        </w:rPr>
        <w:t xml:space="preserve"> (e.g. </w:t>
      </w:r>
      <w:r>
        <w:rPr>
          <w:rFonts w:hint="default" w:ascii="Times New Roman" w:hAnsi="Times New Roman" w:cs="Times New Roman"/>
          <w:b w:val="0"/>
          <w:bCs w:val="0"/>
          <w:i/>
          <w:iCs/>
          <w:sz w:val="21"/>
          <w:szCs w:val="21"/>
          <w:lang w:val="en-US" w:eastAsia="zh-CN"/>
        </w:rPr>
        <w:t>nrofSS-BlocksToAverage</w:t>
      </w:r>
      <w:r>
        <w:rPr>
          <w:rFonts w:hint="default" w:ascii="Times New Roman" w:hAnsi="Times New Roman" w:cs="Times New Roman"/>
          <w:b w:val="0"/>
          <w:bCs w:val="0"/>
          <w:sz w:val="21"/>
          <w:szCs w:val="21"/>
          <w:lang w:val="en-US" w:eastAsia="zh-CN"/>
        </w:rPr>
        <w:t xml:space="preserve">, </w:t>
      </w:r>
      <w:r>
        <w:rPr>
          <w:rFonts w:hint="default" w:ascii="Times New Roman" w:hAnsi="Times New Roman" w:cs="Times New Roman"/>
          <w:b w:val="0"/>
          <w:bCs w:val="0"/>
          <w:i/>
          <w:iCs/>
          <w:sz w:val="21"/>
          <w:szCs w:val="21"/>
          <w:lang w:val="en-US" w:eastAsia="zh-CN"/>
        </w:rPr>
        <w:t>nrofCSI-RS-ResourcesToAverage</w:t>
      </w:r>
      <w:r>
        <w:rPr>
          <w:rFonts w:hint="default" w:ascii="Times New Roman" w:hAnsi="Times New Roman" w:cs="Times New Roman"/>
          <w:b w:val="0"/>
          <w:bCs w:val="0"/>
          <w:sz w:val="21"/>
          <w:szCs w:val="21"/>
          <w:lang w:val="en-US" w:eastAsia="zh-CN"/>
        </w:rPr>
        <w:t xml:space="preserve">) but a higher threshold for the consolidation of measurement results per RS from L1 filter (e.g. </w:t>
      </w:r>
      <w:r>
        <w:rPr>
          <w:rFonts w:hint="default" w:ascii="Times New Roman" w:hAnsi="Times New Roman" w:cs="Times New Roman"/>
          <w:b w:val="0"/>
          <w:bCs w:val="0"/>
          <w:i/>
          <w:iCs/>
          <w:sz w:val="21"/>
          <w:szCs w:val="21"/>
          <w:lang w:val="en-US" w:eastAsia="zh-CN"/>
        </w:rPr>
        <w:t>absThreshSS-BlocksConsolidation</w:t>
      </w:r>
      <w:r>
        <w:rPr>
          <w:rFonts w:hint="default" w:ascii="Times New Roman" w:hAnsi="Times New Roman" w:cs="Times New Roman"/>
          <w:b w:val="0"/>
          <w:bCs w:val="0"/>
          <w:sz w:val="21"/>
          <w:szCs w:val="21"/>
          <w:lang w:val="en-US" w:eastAsia="zh-CN"/>
        </w:rPr>
        <w:t xml:space="preserve">, </w:t>
      </w:r>
      <w:r>
        <w:rPr>
          <w:rFonts w:hint="default" w:ascii="Times New Roman" w:hAnsi="Times New Roman" w:cs="Times New Roman"/>
          <w:b w:val="0"/>
          <w:bCs w:val="0"/>
          <w:i/>
          <w:iCs/>
          <w:sz w:val="21"/>
          <w:szCs w:val="21"/>
          <w:lang w:val="en-US" w:eastAsia="zh-CN"/>
        </w:rPr>
        <w:t>absThreshCSI-RS-Consolidation</w:t>
      </w:r>
      <w:r>
        <w:rPr>
          <w:rFonts w:hint="default" w:ascii="Times New Roman" w:hAnsi="Times New Roman" w:cs="Times New Roman"/>
          <w:b w:val="0"/>
          <w:bCs w:val="0"/>
          <w:sz w:val="21"/>
          <w:szCs w:val="21"/>
          <w:lang w:val="en-US" w:eastAsia="zh-CN"/>
        </w:rPr>
        <w:t>), for UAV UE’s interference detection.</w:t>
      </w:r>
    </w:p>
    <w:p>
      <w:pPr>
        <w:widowControl w:val="0"/>
        <w:numPr>
          <w:ilvl w:val="0"/>
          <w:numId w:val="0"/>
        </w:numPr>
        <w:ind w:leftChars="0"/>
        <w:jc w:val="both"/>
        <w:rPr>
          <w:rFonts w:hint="default" w:cs="Times New Roman"/>
          <w:b/>
          <w:bCs/>
          <w:sz w:val="21"/>
          <w:szCs w:val="21"/>
          <w:lang w:val="en-US" w:eastAsia="zh-CN"/>
        </w:rPr>
      </w:pPr>
      <w:r>
        <w:rPr>
          <w:rFonts w:hint="default" w:cs="Times New Roman"/>
          <w:b/>
          <w:bCs/>
          <w:sz w:val="21"/>
          <w:szCs w:val="21"/>
          <w:lang w:val="en-US" w:eastAsia="zh-CN"/>
        </w:rPr>
        <w:t xml:space="preserve">Proposal </w:t>
      </w:r>
      <w:r>
        <w:rPr>
          <w:rFonts w:hint="eastAsia" w:cs="Times New Roman"/>
          <w:b/>
          <w:bCs/>
          <w:sz w:val="21"/>
          <w:szCs w:val="21"/>
          <w:lang w:val="en-US" w:eastAsia="zh-CN"/>
        </w:rPr>
        <w:t>11</w:t>
      </w:r>
      <w:r>
        <w:rPr>
          <w:rFonts w:hint="default" w:cs="Times New Roman"/>
          <w:b/>
          <w:bCs/>
          <w:sz w:val="21"/>
          <w:szCs w:val="21"/>
          <w:lang w:val="en-US" w:eastAsia="zh-CN"/>
        </w:rPr>
        <w:t>:</w:t>
      </w:r>
      <w:r>
        <w:rPr>
          <w:rFonts w:hint="default" w:cs="Times New Roman"/>
          <w:b/>
          <w:bCs/>
          <w:sz w:val="21"/>
          <w:szCs w:val="21"/>
          <w:lang w:val="en-US" w:eastAsia="zh-CN"/>
        </w:rPr>
        <w:tab/>
      </w:r>
      <w:r>
        <w:rPr>
          <w:rFonts w:hint="default" w:cs="Times New Roman"/>
          <w:b/>
          <w:bCs/>
          <w:sz w:val="21"/>
          <w:szCs w:val="21"/>
          <w:lang w:val="en-US" w:eastAsia="zh-CN"/>
        </w:rPr>
        <w:t>RAN2</w:t>
      </w:r>
      <w:r>
        <w:rPr>
          <w:rFonts w:hint="eastAsia" w:cs="Times New Roman"/>
          <w:b/>
          <w:bCs/>
          <w:sz w:val="21"/>
          <w:szCs w:val="21"/>
          <w:lang w:val="en-US" w:eastAsia="zh-CN"/>
        </w:rPr>
        <w:t xml:space="preserve"> to</w:t>
      </w:r>
      <w:r>
        <w:rPr>
          <w:rFonts w:hint="default" w:cs="Times New Roman"/>
          <w:b/>
          <w:bCs/>
          <w:sz w:val="21"/>
          <w:szCs w:val="21"/>
          <w:lang w:val="en-US" w:eastAsia="zh-CN"/>
        </w:rPr>
        <w:t xml:space="preserve"> consider </w:t>
      </w:r>
      <w:r>
        <w:rPr>
          <w:rFonts w:hint="eastAsia" w:cs="Times New Roman"/>
          <w:b/>
          <w:bCs/>
          <w:sz w:val="21"/>
          <w:szCs w:val="21"/>
          <w:lang w:val="en-US" w:eastAsia="zh-CN"/>
        </w:rPr>
        <w:t>to</w:t>
      </w:r>
      <w:r>
        <w:rPr>
          <w:rFonts w:hint="default" w:cs="Times New Roman"/>
          <w:b/>
          <w:bCs/>
          <w:sz w:val="21"/>
          <w:szCs w:val="21"/>
          <w:lang w:val="en-US" w:eastAsia="zh-CN"/>
        </w:rPr>
        <w:t xml:space="preserve"> introduce separate criteria</w:t>
      </w:r>
      <w:r>
        <w:rPr>
          <w:rFonts w:hint="eastAsia" w:cs="Times New Roman"/>
          <w:b/>
          <w:bCs/>
          <w:sz w:val="21"/>
          <w:szCs w:val="21"/>
          <w:lang w:val="en-US" w:eastAsia="zh-CN"/>
        </w:rPr>
        <w:t>/</w:t>
      </w:r>
      <w:r>
        <w:rPr>
          <w:rFonts w:hint="default" w:cs="Times New Roman"/>
          <w:b/>
          <w:bCs/>
          <w:sz w:val="21"/>
          <w:szCs w:val="21"/>
          <w:lang w:val="en-US" w:eastAsia="zh-CN"/>
        </w:rPr>
        <w:t xml:space="preserve">parameters for cell quality derivation </w:t>
      </w:r>
      <w:r>
        <w:rPr>
          <w:rFonts w:hint="eastAsia" w:cs="Times New Roman"/>
          <w:b/>
          <w:bCs/>
          <w:sz w:val="21"/>
          <w:szCs w:val="21"/>
          <w:lang w:val="en-US" w:eastAsia="zh-CN"/>
        </w:rPr>
        <w:t xml:space="preserve">for </w:t>
      </w:r>
      <w:r>
        <w:rPr>
          <w:rFonts w:hint="default" w:cs="Times New Roman"/>
          <w:b/>
          <w:bCs/>
          <w:sz w:val="21"/>
          <w:szCs w:val="21"/>
          <w:lang w:val="en-US" w:eastAsia="zh-CN"/>
        </w:rPr>
        <w:t>interference detection.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26" w:name="_GoBack"/>
      <w:bookmarkEnd w:id="26"/>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widowControl w:val="0"/>
        <w:numPr>
          <w:ilvl w:val="0"/>
          <w:numId w:val="0"/>
        </w:numPr>
        <w:ind w:leftChars="0"/>
        <w:jc w:val="both"/>
        <w:rPr>
          <w:rFonts w:hint="default" w:cs="Times New Roman" w:eastAsiaTheme="minorEastAsia"/>
          <w:b/>
          <w:bCs/>
          <w:sz w:val="21"/>
          <w:szCs w:val="21"/>
          <w:lang w:val="en-US" w:eastAsia="zh-CN"/>
        </w:rPr>
      </w:pPr>
      <w:r>
        <w:t>In this contribution</w:t>
      </w:r>
      <w:r>
        <w:rPr>
          <w:rFonts w:hint="eastAsia"/>
          <w:lang w:val="en-US" w:eastAsia="zh-CN"/>
        </w:rPr>
        <w:t>, we discussed the mobility and interference control for UAV UE with the following observations and proposals:</w:t>
      </w:r>
    </w:p>
    <w:p>
      <w:pPr>
        <w:widowControl w:val="0"/>
        <w:numPr>
          <w:ilvl w:val="0"/>
          <w:numId w:val="0"/>
        </w:numPr>
        <w:jc w:val="both"/>
        <w:rPr>
          <w:rFonts w:hint="eastAsia" w:cs="Times New Roman"/>
          <w:b w:val="0"/>
          <w:bCs w:val="0"/>
          <w:sz w:val="21"/>
          <w:szCs w:val="21"/>
          <w:lang w:val="en-US" w:eastAsia="zh-CN"/>
        </w:rPr>
      </w:pPr>
      <w:r>
        <w:rPr>
          <w:rFonts w:hint="eastAsia" w:cs="Times New Roman"/>
          <w:b/>
          <w:bCs/>
          <w:sz w:val="21"/>
          <w:szCs w:val="21"/>
          <w:lang w:val="en-US" w:eastAsia="zh-CN"/>
        </w:rPr>
        <w:t xml:space="preserve">Proposal 1: A separate IE (e.g. </w:t>
      </w:r>
      <w:r>
        <w:rPr>
          <w:rFonts w:hint="eastAsia" w:cs="Times New Roman"/>
          <w:b/>
          <w:bCs/>
          <w:i/>
          <w:iCs/>
          <w:sz w:val="21"/>
          <w:szCs w:val="21"/>
          <w:lang w:val="en-US" w:eastAsia="zh-CN"/>
        </w:rPr>
        <w:t>heightUE</w:t>
      </w:r>
      <w:r>
        <w:rPr>
          <w:rFonts w:hint="eastAsia" w:cs="Times New Roman"/>
          <w:b/>
          <w:bCs/>
          <w:sz w:val="21"/>
          <w:szCs w:val="21"/>
          <w:lang w:val="en-US" w:eastAsia="zh-CN"/>
        </w:rPr>
        <w:t>) is introduced for the height reporting triggered by event H1 or H2, as in LTE. When event H1 or H2 triggers, the UE shall mandatorialy include the UAV UE</w:t>
      </w:r>
      <w:r>
        <w:rPr>
          <w:rFonts w:hint="default" w:cs="Times New Roman"/>
          <w:b/>
          <w:bCs/>
          <w:sz w:val="21"/>
          <w:szCs w:val="21"/>
          <w:lang w:val="en-US" w:eastAsia="zh-CN"/>
        </w:rPr>
        <w:t>’</w:t>
      </w:r>
      <w:r>
        <w:rPr>
          <w:rFonts w:hint="eastAsia" w:cs="Times New Roman"/>
          <w:b/>
          <w:bCs/>
          <w:sz w:val="21"/>
          <w:szCs w:val="21"/>
          <w:lang w:val="en-US" w:eastAsia="zh-CN"/>
        </w:rPr>
        <w:t xml:space="preserve">s height in the separate IE within the measurement result. </w:t>
      </w:r>
    </w:p>
    <w:p>
      <w:pPr>
        <w:widowControl w:val="0"/>
        <w:numPr>
          <w:ilvl w:val="0"/>
          <w:numId w:val="0"/>
        </w:numPr>
        <w:jc w:val="both"/>
        <w:rPr>
          <w:rFonts w:hint="default" w:cs="Times New Roman"/>
          <w:b w:val="0"/>
          <w:bCs w:val="0"/>
          <w:i/>
          <w:iCs/>
          <w:sz w:val="21"/>
          <w:szCs w:val="21"/>
          <w:lang w:val="en-US" w:eastAsia="zh-CN"/>
        </w:rPr>
      </w:pPr>
      <w:r>
        <w:rPr>
          <w:rFonts w:hint="eastAsia" w:cs="Times New Roman"/>
          <w:b w:val="0"/>
          <w:bCs w:val="0"/>
          <w:i/>
          <w:iCs/>
          <w:sz w:val="21"/>
          <w:szCs w:val="21"/>
          <w:lang w:val="en-US" w:eastAsia="zh-CN"/>
        </w:rPr>
        <w:t>Observation 1: In NR, for each measurement report triggered by event, the UE shall set the RSRP/RSRQ/SINR measurement results of concerned cells in the measurement report, if available.</w:t>
      </w:r>
    </w:p>
    <w:p>
      <w:pPr>
        <w:widowControl w:val="0"/>
        <w:numPr>
          <w:ilvl w:val="0"/>
          <w:numId w:val="0"/>
        </w:numPr>
        <w:jc w:val="both"/>
        <w:rPr>
          <w:rFonts w:hint="eastAsia" w:cs="Times New Roman"/>
          <w:b/>
          <w:bCs/>
          <w:sz w:val="21"/>
          <w:szCs w:val="21"/>
          <w:lang w:val="en-US" w:eastAsia="zh-CN"/>
        </w:rPr>
      </w:pPr>
      <w:r>
        <w:rPr>
          <w:rFonts w:hint="eastAsia" w:cs="Times New Roman"/>
          <w:b/>
          <w:bCs/>
          <w:sz w:val="21"/>
          <w:szCs w:val="21"/>
          <w:lang w:val="en-US" w:eastAsia="zh-CN"/>
        </w:rPr>
        <w:t xml:space="preserve">Proposal 2: An new indication (e.g. </w:t>
      </w:r>
      <w:r>
        <w:rPr>
          <w:rFonts w:hint="eastAsia" w:cs="Times New Roman"/>
          <w:b/>
          <w:bCs/>
          <w:i/>
          <w:iCs/>
          <w:sz w:val="21"/>
          <w:szCs w:val="21"/>
          <w:lang w:val="en-US" w:eastAsia="zh-CN"/>
        </w:rPr>
        <w:t xml:space="preserve">includeQuantities </w:t>
      </w:r>
      <w:r>
        <w:rPr>
          <w:rFonts w:hint="eastAsia" w:cs="Times New Roman"/>
          <w:b/>
          <w:bCs/>
          <w:sz w:val="21"/>
          <w:szCs w:val="21"/>
          <w:lang w:val="en-US" w:eastAsia="zh-CN"/>
        </w:rPr>
        <w:t xml:space="preserve">IE) is introduced in the </w:t>
      </w:r>
      <w:r>
        <w:rPr>
          <w:rFonts w:hint="eastAsia" w:cs="Times New Roman"/>
          <w:b/>
          <w:bCs/>
          <w:i/>
          <w:iCs/>
          <w:sz w:val="21"/>
          <w:szCs w:val="21"/>
          <w:lang w:val="en-US" w:eastAsia="zh-CN"/>
        </w:rPr>
        <w:t xml:space="preserve">ReportConfigNR </w:t>
      </w:r>
      <w:r>
        <w:rPr>
          <w:rFonts w:hint="eastAsia" w:cs="Times New Roman"/>
          <w:b/>
          <w:bCs/>
          <w:sz w:val="21"/>
          <w:szCs w:val="21"/>
          <w:lang w:val="en-US" w:eastAsia="zh-CN"/>
        </w:rPr>
        <w:t xml:space="preserve">to indicate whether the RSRP/RSRQ/SINR measurement result is required to be included in the measurement report triggered by event H1 or H2. </w:t>
      </w:r>
    </w:p>
    <w:p>
      <w:pPr>
        <w:widowControl w:val="0"/>
        <w:numPr>
          <w:ilvl w:val="0"/>
          <w:numId w:val="0"/>
        </w:numPr>
        <w:jc w:val="both"/>
        <w:rPr>
          <w:rFonts w:hint="default" w:cs="Times New Roman"/>
          <w:b/>
          <w:bCs/>
          <w:sz w:val="21"/>
          <w:szCs w:val="21"/>
          <w:lang w:val="en-US" w:eastAsia="zh-CN"/>
        </w:rPr>
      </w:pPr>
      <w:r>
        <w:rPr>
          <w:rFonts w:hint="eastAsia" w:cs="Times New Roman"/>
          <w:b/>
          <w:bCs/>
          <w:sz w:val="21"/>
          <w:szCs w:val="21"/>
          <w:lang w:val="en-US" w:eastAsia="zh-CN"/>
        </w:rPr>
        <w:t>Proposal 3: The indication is introduced by a SEQUENCE structure to separately indicate which quantities results are required in the measurement report.</w:t>
      </w:r>
    </w:p>
    <w:p>
      <w:pPr>
        <w:widowControl w:val="0"/>
        <w:numPr>
          <w:ilvl w:val="0"/>
          <w:numId w:val="0"/>
        </w:numPr>
        <w:jc w:val="both"/>
        <w:rPr>
          <w:rFonts w:hint="default" w:cs="Times New Roman"/>
          <w:b/>
          <w:bCs/>
          <w:sz w:val="21"/>
          <w:szCs w:val="21"/>
          <w:lang w:val="en-US" w:eastAsia="zh-CN"/>
        </w:rPr>
      </w:pPr>
      <w:r>
        <w:rPr>
          <w:rFonts w:hint="eastAsia" w:cs="Times New Roman"/>
          <w:b/>
          <w:bCs/>
          <w:sz w:val="21"/>
          <w:szCs w:val="21"/>
          <w:lang w:val="en-US" w:eastAsia="zh-CN"/>
        </w:rPr>
        <w:t xml:space="preserve">Proposal 4: The </w:t>
      </w:r>
      <w:r>
        <w:rPr>
          <w:rFonts w:hint="eastAsia" w:cs="Times New Roman"/>
          <w:b/>
          <w:bCs/>
          <w:i/>
          <w:iCs/>
          <w:sz w:val="21"/>
          <w:szCs w:val="21"/>
          <w:lang w:val="en-US" w:eastAsia="zh-CN"/>
        </w:rPr>
        <w:t xml:space="preserve">includeCommonLocationInfo </w:t>
      </w:r>
      <w:r>
        <w:rPr>
          <w:rFonts w:hint="eastAsia" w:cs="Times New Roman"/>
          <w:b/>
          <w:bCs/>
          <w:sz w:val="21"/>
          <w:szCs w:val="21"/>
          <w:lang w:val="en-US" w:eastAsia="zh-CN"/>
        </w:rPr>
        <w:t xml:space="preserve">IE in the </w:t>
      </w:r>
      <w:r>
        <w:rPr>
          <w:rFonts w:hint="eastAsia" w:cs="Times New Roman"/>
          <w:b/>
          <w:bCs/>
          <w:i/>
          <w:iCs/>
          <w:sz w:val="21"/>
          <w:szCs w:val="21"/>
          <w:lang w:val="en-US" w:eastAsia="zh-CN"/>
        </w:rPr>
        <w:t xml:space="preserve">ReportConfigNR </w:t>
      </w:r>
      <w:r>
        <w:rPr>
          <w:rFonts w:hint="eastAsia" w:cs="Times New Roman"/>
          <w:b/>
          <w:bCs/>
          <w:sz w:val="21"/>
          <w:szCs w:val="21"/>
          <w:lang w:val="en-US" w:eastAsia="zh-CN"/>
        </w:rPr>
        <w:t>is reused to indicate whether the location information (if available) is required to be included in the measurement report triggered by event H1 or H2.</w:t>
      </w:r>
    </w:p>
    <w:p>
      <w:pPr>
        <w:widowControl w:val="0"/>
        <w:numPr>
          <w:ilvl w:val="0"/>
          <w:numId w:val="0"/>
        </w:numPr>
        <w:jc w:val="both"/>
        <w:rPr>
          <w:rFonts w:hint="eastAsia" w:cs="Times New Roman"/>
          <w:b w:val="0"/>
          <w:bCs w:val="0"/>
          <w:sz w:val="21"/>
          <w:szCs w:val="21"/>
          <w:lang w:val="en-US" w:eastAsia="zh-CN"/>
        </w:rPr>
      </w:pPr>
      <w:r>
        <w:rPr>
          <w:rFonts w:hint="eastAsia" w:cs="Times New Roman"/>
          <w:b/>
          <w:bCs/>
          <w:sz w:val="21"/>
          <w:szCs w:val="21"/>
          <w:lang w:val="en-US" w:eastAsia="zh-CN"/>
        </w:rPr>
        <w:t xml:space="preserve">Proposal 5: The parameters in the </w:t>
      </w:r>
      <w:r>
        <w:rPr>
          <w:rFonts w:hint="eastAsia" w:cs="Times New Roman"/>
          <w:b/>
          <w:bCs/>
          <w:i/>
          <w:iCs/>
          <w:sz w:val="21"/>
          <w:szCs w:val="21"/>
          <w:lang w:val="en-US" w:eastAsia="zh-CN"/>
        </w:rPr>
        <w:t xml:space="preserve">CommonLocationInfo </w:t>
      </w:r>
      <w:r>
        <w:rPr>
          <w:rFonts w:hint="eastAsia" w:cs="Times New Roman"/>
          <w:b/>
          <w:bCs/>
          <w:sz w:val="21"/>
          <w:szCs w:val="21"/>
          <w:lang w:val="en-US" w:eastAsia="zh-CN"/>
        </w:rPr>
        <w:t>IE are reused for UAV UEs</w:t>
      </w:r>
      <w:r>
        <w:rPr>
          <w:rFonts w:hint="default" w:cs="Times New Roman"/>
          <w:b/>
          <w:bCs/>
          <w:sz w:val="21"/>
          <w:szCs w:val="21"/>
          <w:lang w:val="en-US" w:eastAsia="zh-CN"/>
        </w:rPr>
        <w:t>’</w:t>
      </w:r>
      <w:r>
        <w:rPr>
          <w:rFonts w:hint="eastAsia" w:cs="Times New Roman"/>
          <w:b/>
          <w:bCs/>
          <w:sz w:val="21"/>
          <w:szCs w:val="21"/>
          <w:lang w:val="en-US" w:eastAsia="zh-CN"/>
        </w:rPr>
        <w:t xml:space="preserve"> location reporting.</w:t>
      </w:r>
    </w:p>
    <w:p>
      <w:pPr>
        <w:widowControl w:val="0"/>
        <w:numPr>
          <w:ilvl w:val="0"/>
          <w:numId w:val="0"/>
        </w:numPr>
        <w:ind w:leftChars="0"/>
        <w:jc w:val="both"/>
        <w:rPr>
          <w:rFonts w:hint="default" w:cs="Times New Roman"/>
          <w:b w:val="0"/>
          <w:bCs w:val="0"/>
          <w:i/>
          <w:iCs/>
          <w:sz w:val="21"/>
          <w:szCs w:val="21"/>
          <w:lang w:val="en-US" w:eastAsia="zh-CN"/>
        </w:rPr>
      </w:pPr>
      <w:r>
        <w:rPr>
          <w:rFonts w:hint="eastAsia" w:cs="Times New Roman"/>
          <w:b w:val="0"/>
          <w:bCs w:val="0"/>
          <w:i/>
          <w:iCs/>
          <w:sz w:val="21"/>
          <w:szCs w:val="21"/>
          <w:lang w:val="en-US" w:eastAsia="zh-CN"/>
        </w:rPr>
        <w:t xml:space="preserve">Observation 2: Combination of two triggering conditions has been discussed in Rel-16 CHO. Currently, the combination of two measIds is used to present the combination of different triggering conditions in the execution condition for conditional reconfiguration (e.g. CHO, CPAC). </w:t>
      </w:r>
    </w:p>
    <w:p>
      <w:pPr>
        <w:widowControl w:val="0"/>
        <w:numPr>
          <w:ilvl w:val="0"/>
          <w:numId w:val="0"/>
        </w:numPr>
        <w:ind w:leftChars="0"/>
        <w:jc w:val="both"/>
        <w:rPr>
          <w:rFonts w:hint="eastAsia" w:cs="Times New Roman"/>
          <w:b/>
          <w:bCs/>
          <w:sz w:val="21"/>
          <w:szCs w:val="21"/>
          <w:lang w:val="en-US" w:eastAsia="zh-CN"/>
        </w:rPr>
      </w:pPr>
      <w:r>
        <w:rPr>
          <w:rFonts w:hint="eastAsia" w:cs="Times New Roman"/>
          <w:b/>
          <w:bCs/>
          <w:sz w:val="21"/>
          <w:szCs w:val="21"/>
          <w:lang w:val="en-US" w:eastAsia="zh-CN"/>
        </w:rPr>
        <w:t>Proposal 6: Combination of event H1 or H2 with event Ax is used to combine height-dependent condition and RSRP/RSRQ/SINR-based condition for measurement report triggering, i.e. not to define a new event for the joint conditions.</w:t>
      </w:r>
    </w:p>
    <w:p>
      <w:pPr>
        <w:widowControl w:val="0"/>
        <w:numPr>
          <w:ilvl w:val="0"/>
          <w:numId w:val="0"/>
        </w:numPr>
        <w:ind w:leftChars="0"/>
        <w:jc w:val="both"/>
        <w:rPr>
          <w:rFonts w:hint="eastAsia" w:cs="Times New Roman"/>
          <w:b/>
          <w:bCs/>
          <w:sz w:val="21"/>
          <w:szCs w:val="21"/>
          <w:lang w:val="en-US" w:eastAsia="zh-CN"/>
        </w:rPr>
      </w:pPr>
      <w:r>
        <w:rPr>
          <w:rFonts w:hint="eastAsia" w:cs="Times New Roman"/>
          <w:b/>
          <w:bCs/>
          <w:sz w:val="21"/>
          <w:szCs w:val="21"/>
          <w:lang w:val="en-US" w:eastAsia="zh-CN"/>
        </w:rPr>
        <w:t xml:space="preserve">Proposal 7: The combination of event H1 or H2 with event Ax is indicated by the combination of </w:t>
      </w:r>
      <w:r>
        <w:rPr>
          <w:rFonts w:hint="eastAsia" w:cs="Times New Roman"/>
          <w:b/>
          <w:bCs/>
          <w:i/>
          <w:iCs/>
          <w:sz w:val="21"/>
          <w:szCs w:val="21"/>
          <w:lang w:val="en-US" w:eastAsia="zh-CN"/>
        </w:rPr>
        <w:t xml:space="preserve">measId(s), </w:t>
      </w:r>
      <w:r>
        <w:rPr>
          <w:rFonts w:hint="eastAsia" w:cs="Times New Roman"/>
          <w:b/>
          <w:bCs/>
          <w:i w:val="0"/>
          <w:iCs w:val="0"/>
          <w:sz w:val="21"/>
          <w:szCs w:val="21"/>
          <w:lang w:val="en-US" w:eastAsia="zh-CN"/>
        </w:rPr>
        <w:t xml:space="preserve">e.g. associate one </w:t>
      </w:r>
      <w:r>
        <w:rPr>
          <w:rFonts w:hint="eastAsia" w:cs="Times New Roman"/>
          <w:b/>
          <w:bCs/>
          <w:i/>
          <w:iCs/>
          <w:sz w:val="21"/>
          <w:szCs w:val="21"/>
          <w:lang w:val="en-US" w:eastAsia="zh-CN"/>
        </w:rPr>
        <w:t xml:space="preserve">measId </w:t>
      </w:r>
      <w:r>
        <w:rPr>
          <w:rFonts w:hint="eastAsia" w:cs="Times New Roman"/>
          <w:b/>
          <w:bCs/>
          <w:i w:val="0"/>
          <w:iCs w:val="0"/>
          <w:sz w:val="21"/>
          <w:szCs w:val="21"/>
          <w:lang w:val="en-US" w:eastAsia="zh-CN"/>
        </w:rPr>
        <w:t xml:space="preserve">for event H1/2 with the other </w:t>
      </w:r>
      <w:r>
        <w:rPr>
          <w:rFonts w:hint="eastAsia" w:cs="Times New Roman"/>
          <w:b/>
          <w:bCs/>
          <w:i/>
          <w:iCs/>
          <w:sz w:val="21"/>
          <w:szCs w:val="21"/>
          <w:lang w:val="en-US" w:eastAsia="zh-CN"/>
        </w:rPr>
        <w:t xml:space="preserve">measId </w:t>
      </w:r>
      <w:r>
        <w:rPr>
          <w:rFonts w:hint="eastAsia" w:cs="Times New Roman"/>
          <w:b/>
          <w:bCs/>
          <w:i w:val="0"/>
          <w:iCs w:val="0"/>
          <w:sz w:val="21"/>
          <w:szCs w:val="21"/>
          <w:lang w:val="en-US" w:eastAsia="zh-CN"/>
        </w:rPr>
        <w:t xml:space="preserve">for event Ax. </w:t>
      </w:r>
      <w:r>
        <w:rPr>
          <w:rFonts w:hint="eastAsia" w:cs="Times New Roman"/>
          <w:b/>
          <w:bCs/>
          <w:sz w:val="21"/>
          <w:szCs w:val="21"/>
          <w:lang w:val="en-US" w:eastAsia="zh-CN"/>
        </w:rPr>
        <w:t xml:space="preserve">A new measurement identifier (e.g. </w:t>
      </w:r>
      <w:r>
        <w:rPr>
          <w:rFonts w:hint="eastAsia" w:cs="Times New Roman"/>
          <w:b/>
          <w:bCs/>
          <w:i/>
          <w:iCs/>
          <w:sz w:val="21"/>
          <w:szCs w:val="21"/>
          <w:lang w:val="en-US" w:eastAsia="zh-CN"/>
        </w:rPr>
        <w:t xml:space="preserve">combinedMeasId </w:t>
      </w:r>
      <w:r>
        <w:rPr>
          <w:rFonts w:hint="eastAsia" w:cs="Times New Roman"/>
          <w:b/>
          <w:bCs/>
          <w:sz w:val="21"/>
          <w:szCs w:val="21"/>
          <w:lang w:val="en-US" w:eastAsia="zh-CN"/>
        </w:rPr>
        <w:t xml:space="preserve">IE) can be introduced to indicate the combination of </w:t>
      </w:r>
      <w:r>
        <w:rPr>
          <w:rFonts w:hint="eastAsia" w:cs="Times New Roman"/>
          <w:b/>
          <w:bCs/>
          <w:i/>
          <w:iCs/>
          <w:sz w:val="21"/>
          <w:szCs w:val="21"/>
          <w:lang w:val="en-US" w:eastAsia="zh-CN"/>
        </w:rPr>
        <w:t>measId(s)</w:t>
      </w:r>
      <w:r>
        <w:rPr>
          <w:rFonts w:hint="eastAsia" w:cs="Times New Roman"/>
          <w:b/>
          <w:bCs/>
          <w:sz w:val="21"/>
          <w:szCs w:val="21"/>
          <w:lang w:val="en-US" w:eastAsia="zh-CN"/>
        </w:rPr>
        <w:t>.</w:t>
      </w:r>
    </w:p>
    <w:p>
      <w:pPr>
        <w:widowControl w:val="0"/>
        <w:numPr>
          <w:ilvl w:val="0"/>
          <w:numId w:val="0"/>
        </w:numPr>
        <w:ind w:leftChars="0"/>
        <w:jc w:val="both"/>
        <w:rPr>
          <w:rFonts w:hint="eastAsia" w:cs="Times New Roman"/>
          <w:b/>
          <w:bCs/>
          <w:sz w:val="21"/>
          <w:szCs w:val="21"/>
          <w:lang w:val="en-US" w:eastAsia="zh-CN"/>
        </w:rPr>
      </w:pPr>
      <w:r>
        <w:rPr>
          <w:rFonts w:hint="eastAsia" w:cs="Times New Roman"/>
          <w:b/>
          <w:bCs/>
          <w:sz w:val="21"/>
          <w:szCs w:val="21"/>
          <w:lang w:val="en-US" w:eastAsia="zh-CN"/>
        </w:rPr>
        <w:t xml:space="preserve">Proposal 8: The UE shall initiate the measurement report only when both event(s) in the combination are fulfilled, e.g. events associated to all </w:t>
      </w:r>
      <w:r>
        <w:rPr>
          <w:rFonts w:hint="eastAsia" w:cs="Times New Roman"/>
          <w:b/>
          <w:bCs/>
          <w:i/>
          <w:iCs/>
          <w:sz w:val="21"/>
          <w:szCs w:val="21"/>
          <w:lang w:val="en-US" w:eastAsia="zh-CN"/>
        </w:rPr>
        <w:t>measId(s)</w:t>
      </w:r>
      <w:r>
        <w:rPr>
          <w:rFonts w:hint="eastAsia" w:cs="Times New Roman"/>
          <w:b/>
          <w:bCs/>
          <w:sz w:val="21"/>
          <w:szCs w:val="21"/>
          <w:lang w:val="en-US" w:eastAsia="zh-CN"/>
        </w:rPr>
        <w:t xml:space="preserve"> within </w:t>
      </w:r>
      <w:r>
        <w:rPr>
          <w:rFonts w:hint="eastAsia" w:cs="Times New Roman"/>
          <w:b/>
          <w:bCs/>
          <w:i/>
          <w:iCs/>
          <w:sz w:val="21"/>
          <w:szCs w:val="21"/>
          <w:lang w:val="en-US" w:eastAsia="zh-CN"/>
        </w:rPr>
        <w:t xml:space="preserve">combinedMeasId </w:t>
      </w:r>
      <w:r>
        <w:rPr>
          <w:rFonts w:hint="eastAsia" w:cs="Times New Roman"/>
          <w:b/>
          <w:bCs/>
          <w:sz w:val="21"/>
          <w:szCs w:val="21"/>
          <w:lang w:val="en-US" w:eastAsia="zh-CN"/>
        </w:rPr>
        <w:t xml:space="preserve">are fulfilled. </w:t>
      </w:r>
    </w:p>
    <w:p>
      <w:pPr>
        <w:keepNext w:val="0"/>
        <w:keepLines w:val="0"/>
        <w:pageBreakBefore w:val="0"/>
        <w:widowControl w:val="0"/>
        <w:kinsoku/>
        <w:wordWrap/>
        <w:overflowPunct/>
        <w:topLinePunct w:val="0"/>
        <w:autoSpaceDE/>
        <w:autoSpaceDN/>
        <w:bidi w:val="0"/>
        <w:adjustRightInd/>
        <w:snapToGrid/>
        <w:spacing w:after="120" w:line="20" w:lineRule="atLeast"/>
        <w:textAlignment w:val="auto"/>
        <w:rPr>
          <w:rFonts w:hint="eastAsia" w:cs="Times New Roman"/>
          <w:b w:val="0"/>
          <w:bCs w:val="0"/>
          <w:sz w:val="21"/>
          <w:szCs w:val="21"/>
          <w:lang w:val="en-US" w:eastAsia="zh-CN"/>
        </w:rPr>
      </w:pPr>
      <w:r>
        <w:rPr>
          <w:rFonts w:hint="eastAsia" w:cs="Times New Roman"/>
          <w:i/>
          <w:iCs/>
          <w:sz w:val="20"/>
          <w:szCs w:val="20"/>
          <w:lang w:val="en-US" w:eastAsia="zh-CN"/>
        </w:rPr>
        <w:t>Observation 3: The UE action upon the autonomous RRM configuration switch is similar to the normal measurement reconfiguration triggered by the NW (i.e. reception of RRCReconfiguration message with MeasConfig from the NW). It seems that nothing new handling needs to be specified.</w:t>
      </w:r>
    </w:p>
    <w:p>
      <w:pPr>
        <w:widowControl w:val="0"/>
        <w:numPr>
          <w:ilvl w:val="0"/>
          <w:numId w:val="0"/>
        </w:numPr>
        <w:ind w:leftChars="0"/>
        <w:jc w:val="both"/>
        <w:rPr>
          <w:rFonts w:hint="eastAsia" w:cs="Times New Roman"/>
          <w:b w:val="0"/>
          <w:bCs w:val="0"/>
          <w:i/>
          <w:iCs/>
          <w:sz w:val="21"/>
          <w:szCs w:val="21"/>
          <w:lang w:val="en-US" w:eastAsia="zh-CN"/>
        </w:rPr>
      </w:pPr>
      <w:r>
        <w:rPr>
          <w:rFonts w:hint="eastAsia" w:cs="Times New Roman"/>
          <w:b w:val="0"/>
          <w:bCs w:val="0"/>
          <w:i/>
          <w:iCs/>
          <w:sz w:val="21"/>
          <w:szCs w:val="21"/>
          <w:lang w:val="en-US" w:eastAsia="zh-CN"/>
        </w:rPr>
        <w:t xml:space="preserve">Observation 4: The configuration mismatch between what the NW is aware of and the actual configuration the UE uses is not a critical issue if the parameters related to measurement results derivation criteria (e.g. filter coefficient, RS consolidation threshold) are not changed. </w:t>
      </w:r>
    </w:p>
    <w:p>
      <w:pPr>
        <w:widowControl w:val="0"/>
        <w:numPr>
          <w:ilvl w:val="0"/>
          <w:numId w:val="0"/>
        </w:numPr>
        <w:ind w:leftChars="0"/>
        <w:jc w:val="both"/>
        <w:rPr>
          <w:rFonts w:hint="default" w:cs="Times New Roman"/>
          <w:b w:val="0"/>
          <w:bCs w:val="0"/>
          <w:i/>
          <w:iCs/>
          <w:sz w:val="21"/>
          <w:szCs w:val="21"/>
          <w:lang w:val="en-US" w:eastAsia="zh-CN"/>
        </w:rPr>
      </w:pPr>
      <w:r>
        <w:rPr>
          <w:rFonts w:hint="eastAsia" w:cs="Times New Roman"/>
          <w:b w:val="0"/>
          <w:bCs w:val="0"/>
          <w:i/>
          <w:iCs/>
          <w:sz w:val="21"/>
          <w:szCs w:val="21"/>
          <w:lang w:val="en-US" w:eastAsia="zh-CN"/>
        </w:rPr>
        <w:t xml:space="preserve">Observation 5: The NW can be aware of which set of RRM configuration is applied by the UE if the measurement report contains the height related information.  </w:t>
      </w:r>
    </w:p>
    <w:p>
      <w:pPr>
        <w:keepNext w:val="0"/>
        <w:keepLines w:val="0"/>
        <w:pageBreakBefore w:val="0"/>
        <w:widowControl w:val="0"/>
        <w:kinsoku/>
        <w:wordWrap/>
        <w:overflowPunct/>
        <w:topLinePunct w:val="0"/>
        <w:autoSpaceDE/>
        <w:autoSpaceDN/>
        <w:bidi w:val="0"/>
        <w:adjustRightInd/>
        <w:snapToGrid/>
        <w:spacing w:after="120" w:line="20" w:lineRule="atLeast"/>
        <w:textAlignment w:val="auto"/>
        <w:rPr>
          <w:rFonts w:hint="default" w:cs="Times New Roman"/>
          <w:b w:val="0"/>
          <w:bCs w:val="0"/>
          <w:sz w:val="21"/>
          <w:szCs w:val="21"/>
          <w:lang w:val="en-US" w:eastAsia="zh-CN"/>
        </w:rPr>
      </w:pPr>
      <w:r>
        <w:rPr>
          <w:rFonts w:hint="eastAsia" w:cs="Times New Roman"/>
          <w:i/>
          <w:iCs/>
          <w:sz w:val="21"/>
          <w:szCs w:val="21"/>
          <w:lang w:val="en-US" w:eastAsia="zh-CN"/>
        </w:rPr>
        <w:t>Observation 6: In high-speed vertical movement scenario, frequent RRM reconfiguration from the NW after reception of the height report may cause more serious interference due to the frequent and large signaling interaction. It may also delay the triggering of vertical mobility for UAV UE.</w:t>
      </w:r>
    </w:p>
    <w:p>
      <w:pPr>
        <w:widowControl w:val="0"/>
        <w:numPr>
          <w:ilvl w:val="0"/>
          <w:numId w:val="0"/>
        </w:numPr>
        <w:ind w:leftChars="0"/>
        <w:jc w:val="both"/>
        <w:rPr>
          <w:rFonts w:hint="default" w:cs="Times New Roman"/>
          <w:b w:val="0"/>
          <w:bCs w:val="0"/>
          <w:i/>
          <w:iCs/>
          <w:sz w:val="21"/>
          <w:szCs w:val="21"/>
          <w:lang w:val="en-US" w:eastAsia="zh-CN"/>
        </w:rPr>
      </w:pPr>
      <w:r>
        <w:rPr>
          <w:rFonts w:hint="eastAsia" w:cs="Times New Roman"/>
          <w:i/>
          <w:iCs/>
          <w:sz w:val="20"/>
          <w:szCs w:val="20"/>
          <w:lang w:val="en-US" w:eastAsia="zh-CN"/>
        </w:rPr>
        <w:t>Observation 7: H</w:t>
      </w:r>
      <w:r>
        <w:rPr>
          <w:rFonts w:hint="eastAsia" w:cs="Times New Roman"/>
          <w:b w:val="0"/>
          <w:bCs w:val="0"/>
          <w:i/>
          <w:iCs/>
          <w:sz w:val="21"/>
          <w:szCs w:val="21"/>
          <w:lang w:val="en-US" w:eastAsia="zh-CN"/>
        </w:rPr>
        <w:t>eight-dependent RS/beam configuration is beneficial for UAV UE</w:t>
      </w:r>
      <w:r>
        <w:rPr>
          <w:rFonts w:hint="default" w:cs="Times New Roman"/>
          <w:b w:val="0"/>
          <w:bCs w:val="0"/>
          <w:i/>
          <w:iCs/>
          <w:sz w:val="21"/>
          <w:szCs w:val="21"/>
          <w:lang w:val="en-US" w:eastAsia="zh-CN"/>
        </w:rPr>
        <w:t>’</w:t>
      </w:r>
      <w:r>
        <w:rPr>
          <w:rFonts w:hint="eastAsia" w:cs="Times New Roman"/>
          <w:b w:val="0"/>
          <w:bCs w:val="0"/>
          <w:i/>
          <w:iCs/>
          <w:sz w:val="21"/>
          <w:szCs w:val="21"/>
          <w:lang w:val="en-US" w:eastAsia="zh-CN"/>
        </w:rPr>
        <w:t xml:space="preserve">s power saving by not performing measurement on the unneeded beam in a certain height range, as well as for mobility performance by avoid the impact of side lobe from far away cells. </w:t>
      </w:r>
    </w:p>
    <w:p>
      <w:pPr>
        <w:widowControl w:val="0"/>
        <w:numPr>
          <w:ilvl w:val="0"/>
          <w:numId w:val="0"/>
        </w:numPr>
        <w:ind w:leftChars="0"/>
        <w:jc w:val="both"/>
        <w:rPr>
          <w:rFonts w:hint="eastAsia" w:cs="Times New Roman"/>
          <w:b/>
          <w:bCs/>
          <w:sz w:val="21"/>
          <w:szCs w:val="21"/>
          <w:lang w:val="en-US" w:eastAsia="zh-CN"/>
        </w:rPr>
      </w:pPr>
      <w:r>
        <w:rPr>
          <w:rFonts w:hint="default" w:cs="Times New Roman"/>
          <w:b/>
          <w:bCs/>
          <w:sz w:val="21"/>
          <w:szCs w:val="21"/>
          <w:lang w:val="en-US" w:eastAsia="zh-CN"/>
        </w:rPr>
        <w:t xml:space="preserve">Proposal </w:t>
      </w:r>
      <w:r>
        <w:rPr>
          <w:rFonts w:hint="eastAsia" w:cs="Times New Roman"/>
          <w:b/>
          <w:bCs/>
          <w:sz w:val="21"/>
          <w:szCs w:val="21"/>
          <w:lang w:val="en-US" w:eastAsia="zh-CN"/>
        </w:rPr>
        <w:t>9</w:t>
      </w:r>
      <w:r>
        <w:rPr>
          <w:rFonts w:hint="default" w:cs="Times New Roman"/>
          <w:b/>
          <w:bCs/>
          <w:sz w:val="21"/>
          <w:szCs w:val="21"/>
          <w:lang w:val="en-US" w:eastAsia="zh-CN"/>
        </w:rPr>
        <w:t xml:space="preserve">: </w:t>
      </w:r>
      <w:r>
        <w:rPr>
          <w:rFonts w:hint="eastAsia" w:cs="Times New Roman"/>
          <w:b/>
          <w:bCs/>
          <w:sz w:val="21"/>
          <w:szCs w:val="21"/>
          <w:lang w:val="en-US" w:eastAsia="zh-CN"/>
        </w:rPr>
        <w:t>RAN2 to i</w:t>
      </w:r>
      <w:r>
        <w:rPr>
          <w:rFonts w:hint="default" w:cs="Times New Roman"/>
          <w:b/>
          <w:bCs/>
          <w:sz w:val="21"/>
          <w:szCs w:val="21"/>
          <w:lang w:val="en-US" w:eastAsia="zh-CN"/>
        </w:rPr>
        <w:t xml:space="preserve">ntroduce </w:t>
      </w:r>
      <w:r>
        <w:rPr>
          <w:rFonts w:hint="eastAsia" w:cs="Times New Roman"/>
          <w:b/>
          <w:bCs/>
          <w:sz w:val="21"/>
          <w:szCs w:val="21"/>
          <w:lang w:val="en-US" w:eastAsia="zh-CN"/>
        </w:rPr>
        <w:t>height-dependent RRM configuration for NR UAV</w:t>
      </w:r>
      <w:r>
        <w:rPr>
          <w:rFonts w:hint="default" w:cs="Times New Roman"/>
          <w:b/>
          <w:bCs/>
          <w:sz w:val="21"/>
          <w:szCs w:val="21"/>
          <w:lang w:val="en-US" w:eastAsia="zh-CN"/>
        </w:rPr>
        <w:t xml:space="preserve">, </w:t>
      </w:r>
      <w:r>
        <w:rPr>
          <w:rFonts w:hint="eastAsia" w:cs="Times New Roman"/>
          <w:b/>
          <w:bCs/>
          <w:sz w:val="21"/>
          <w:szCs w:val="21"/>
          <w:lang w:val="en-US" w:eastAsia="zh-CN"/>
        </w:rPr>
        <w:t xml:space="preserve">at least for height-dependent beam/RS configuration (e.g. </w:t>
      </w:r>
      <w:r>
        <w:rPr>
          <w:rFonts w:hint="default" w:cs="Times New Roman"/>
          <w:b/>
          <w:bCs/>
          <w:i/>
          <w:iCs/>
          <w:sz w:val="21"/>
          <w:szCs w:val="21"/>
          <w:lang w:val="en-US" w:eastAsia="zh-CN"/>
        </w:rPr>
        <w:t>SSB-ToMeasure</w:t>
      </w:r>
      <w:r>
        <w:rPr>
          <w:rFonts w:hint="eastAsia" w:cs="Times New Roman"/>
          <w:b/>
          <w:bCs/>
          <w:sz w:val="21"/>
          <w:szCs w:val="21"/>
          <w:lang w:val="en-US" w:eastAsia="zh-CN"/>
        </w:rPr>
        <w:t>),</w:t>
      </w:r>
      <w:r>
        <w:rPr>
          <w:rFonts w:hint="default" w:cs="Times New Roman"/>
          <w:b/>
          <w:bCs/>
          <w:sz w:val="21"/>
          <w:szCs w:val="21"/>
          <w:lang w:val="en-US" w:eastAsia="zh-CN"/>
        </w:rPr>
        <w:t xml:space="preserve"> to avoid un</w:t>
      </w:r>
      <w:r>
        <w:rPr>
          <w:rFonts w:hint="eastAsia" w:cs="Times New Roman"/>
          <w:b/>
          <w:bCs/>
          <w:sz w:val="21"/>
          <w:szCs w:val="21"/>
          <w:lang w:val="en-US" w:eastAsia="zh-CN"/>
        </w:rPr>
        <w:t>desired</w:t>
      </w:r>
      <w:r>
        <w:rPr>
          <w:rFonts w:hint="default" w:cs="Times New Roman"/>
          <w:b/>
          <w:bCs/>
          <w:sz w:val="21"/>
          <w:szCs w:val="21"/>
          <w:lang w:val="en-US" w:eastAsia="zh-CN"/>
        </w:rPr>
        <w:t xml:space="preserve"> RRM measurement</w:t>
      </w:r>
      <w:r>
        <w:rPr>
          <w:rFonts w:hint="eastAsia" w:cs="Times New Roman"/>
          <w:b/>
          <w:bCs/>
          <w:sz w:val="21"/>
          <w:szCs w:val="21"/>
          <w:lang w:val="en-US" w:eastAsia="zh-CN"/>
        </w:rPr>
        <w:t xml:space="preserve"> and mobility</w:t>
      </w:r>
      <w:r>
        <w:rPr>
          <w:rFonts w:hint="default" w:cs="Times New Roman"/>
          <w:b/>
          <w:bCs/>
          <w:sz w:val="21"/>
          <w:szCs w:val="21"/>
          <w:lang w:val="en-US" w:eastAsia="zh-CN"/>
        </w:rPr>
        <w:t xml:space="preserve"> on the beams not intended for UAV UE and side lobe</w:t>
      </w:r>
      <w:r>
        <w:rPr>
          <w:rFonts w:hint="eastAsia" w:cs="Times New Roman"/>
          <w:b/>
          <w:bCs/>
          <w:sz w:val="21"/>
          <w:szCs w:val="21"/>
          <w:lang w:val="en-US" w:eastAsia="zh-CN"/>
        </w:rPr>
        <w:t>s</w:t>
      </w:r>
      <w:r>
        <w:rPr>
          <w:rFonts w:hint="default" w:cs="Times New Roman"/>
          <w:b/>
          <w:bCs/>
          <w:sz w:val="21"/>
          <w:szCs w:val="21"/>
          <w:lang w:val="en-US" w:eastAsia="zh-CN"/>
        </w:rPr>
        <w:t xml:space="preserve"> from far away cells.</w:t>
      </w:r>
      <w:r>
        <w:rPr>
          <w:rFonts w:hint="eastAsia" w:cs="Times New Roman"/>
          <w:b/>
          <w:bCs/>
          <w:sz w:val="21"/>
          <w:szCs w:val="21"/>
          <w:lang w:val="en-US" w:eastAsia="zh-CN"/>
        </w:rPr>
        <w:t xml:space="preserve"> FFS: other height-dependent parameters.</w:t>
      </w:r>
    </w:p>
    <w:p>
      <w:pPr>
        <w:widowControl w:val="0"/>
        <w:numPr>
          <w:ilvl w:val="0"/>
          <w:numId w:val="0"/>
        </w:numPr>
        <w:ind w:leftChars="0"/>
        <w:jc w:val="both"/>
        <w:rPr>
          <w:rFonts w:hint="default" w:cs="Times New Roman"/>
          <w:i/>
          <w:iCs/>
          <w:sz w:val="21"/>
          <w:szCs w:val="21"/>
          <w:lang w:val="en-US" w:eastAsia="zh-CN"/>
        </w:rPr>
      </w:pPr>
      <w:r>
        <w:rPr>
          <w:rFonts w:hint="default" w:cs="Times New Roman"/>
          <w:i/>
          <w:iCs/>
          <w:sz w:val="21"/>
          <w:szCs w:val="21"/>
          <w:lang w:val="en-US" w:eastAsia="zh-CN"/>
        </w:rPr>
        <w:t xml:space="preserve">Observation </w:t>
      </w:r>
      <w:r>
        <w:rPr>
          <w:rFonts w:hint="eastAsia" w:cs="Times New Roman"/>
          <w:i/>
          <w:iCs/>
          <w:sz w:val="21"/>
          <w:szCs w:val="21"/>
          <w:lang w:val="en-US" w:eastAsia="zh-CN"/>
        </w:rPr>
        <w:t>8</w:t>
      </w:r>
      <w:r>
        <w:rPr>
          <w:rFonts w:hint="default" w:cs="Times New Roman"/>
          <w:i/>
          <w:iCs/>
          <w:sz w:val="21"/>
          <w:szCs w:val="21"/>
          <w:lang w:val="en-US" w:eastAsia="zh-CN"/>
        </w:rPr>
        <w:t xml:space="preserve">: </w:t>
      </w:r>
      <w:r>
        <w:rPr>
          <w:rFonts w:hint="eastAsia" w:cs="Times New Roman"/>
          <w:i/>
          <w:iCs/>
          <w:sz w:val="21"/>
          <w:szCs w:val="21"/>
          <w:lang w:val="en-US" w:eastAsia="zh-CN"/>
        </w:rPr>
        <w:t>The Number of triggering cells mechanism is designed for interference detection when UAV UE flies in the air, but not for mobility management.</w:t>
      </w:r>
    </w:p>
    <w:p>
      <w:pPr>
        <w:widowControl w:val="0"/>
        <w:numPr>
          <w:ilvl w:val="0"/>
          <w:numId w:val="0"/>
        </w:numPr>
        <w:ind w:leftChars="0"/>
        <w:jc w:val="both"/>
        <w:rPr>
          <w:rFonts w:hint="default" w:cs="Times New Roman"/>
          <w:b w:val="0"/>
          <w:bCs w:val="0"/>
          <w:sz w:val="21"/>
          <w:szCs w:val="21"/>
          <w:lang w:val="en-US" w:eastAsia="zh-CN"/>
        </w:rPr>
      </w:pPr>
      <w:r>
        <w:rPr>
          <w:rFonts w:hint="default" w:cs="Times New Roman"/>
          <w:i/>
          <w:iCs/>
          <w:sz w:val="21"/>
          <w:szCs w:val="21"/>
          <w:lang w:val="en-US" w:eastAsia="zh-CN"/>
        </w:rPr>
        <w:t xml:space="preserve">Observation </w:t>
      </w:r>
      <w:r>
        <w:rPr>
          <w:rFonts w:hint="eastAsia" w:cs="Times New Roman"/>
          <w:i/>
          <w:iCs/>
          <w:sz w:val="21"/>
          <w:szCs w:val="21"/>
          <w:lang w:val="en-US" w:eastAsia="zh-CN"/>
        </w:rPr>
        <w:t>9</w:t>
      </w:r>
      <w:r>
        <w:rPr>
          <w:rFonts w:hint="default" w:cs="Times New Roman"/>
          <w:i/>
          <w:iCs/>
          <w:sz w:val="21"/>
          <w:szCs w:val="21"/>
          <w:lang w:val="en-US" w:eastAsia="zh-CN"/>
        </w:rPr>
        <w:t xml:space="preserve">: </w:t>
      </w:r>
      <w:r>
        <w:rPr>
          <w:rFonts w:hint="eastAsia" w:cs="Times New Roman"/>
          <w:i/>
          <w:iCs/>
          <w:sz w:val="21"/>
          <w:szCs w:val="21"/>
          <w:lang w:val="en-US" w:eastAsia="zh-CN"/>
        </w:rPr>
        <w:t>In some deployment and in LOS condition, interference from inter-RAT cells cannot be ignored. The specification impact to support number of triggering cells mechanism for Event B1 and B2 is same as that for Event A3, A4 and A5.</w:t>
      </w:r>
    </w:p>
    <w:p>
      <w:pPr>
        <w:widowControl w:val="0"/>
        <w:numPr>
          <w:ilvl w:val="0"/>
          <w:numId w:val="0"/>
        </w:numPr>
        <w:ind w:leftChars="0"/>
        <w:jc w:val="both"/>
        <w:rPr>
          <w:rFonts w:hint="default" w:cs="Times New Roman"/>
          <w:b/>
          <w:bCs/>
          <w:sz w:val="21"/>
          <w:szCs w:val="21"/>
          <w:lang w:val="en-US" w:eastAsia="zh-CN"/>
        </w:rPr>
      </w:pPr>
      <w:r>
        <w:rPr>
          <w:rFonts w:hint="default" w:cs="Times New Roman"/>
          <w:b/>
          <w:bCs/>
          <w:sz w:val="21"/>
          <w:szCs w:val="21"/>
          <w:lang w:val="en-US" w:eastAsia="zh-CN"/>
        </w:rPr>
        <w:t xml:space="preserve">Proposal </w:t>
      </w:r>
      <w:r>
        <w:rPr>
          <w:rFonts w:hint="eastAsia" w:cs="Times New Roman"/>
          <w:b/>
          <w:bCs/>
          <w:sz w:val="21"/>
          <w:szCs w:val="21"/>
          <w:lang w:val="en-US" w:eastAsia="zh-CN"/>
        </w:rPr>
        <w:t>10</w:t>
      </w:r>
      <w:r>
        <w:rPr>
          <w:rFonts w:hint="default" w:cs="Times New Roman"/>
          <w:b/>
          <w:bCs/>
          <w:sz w:val="21"/>
          <w:szCs w:val="21"/>
          <w:lang w:val="en-US" w:eastAsia="zh-CN"/>
        </w:rPr>
        <w:t>:</w:t>
      </w:r>
      <w:r>
        <w:rPr>
          <w:rFonts w:hint="default" w:cs="Times New Roman"/>
          <w:b/>
          <w:bCs/>
          <w:sz w:val="21"/>
          <w:szCs w:val="21"/>
          <w:lang w:val="en-US" w:eastAsia="zh-CN"/>
        </w:rPr>
        <w:tab/>
      </w:r>
      <w:r>
        <w:rPr>
          <w:rFonts w:hint="default" w:cs="Times New Roman"/>
          <w:b/>
          <w:bCs/>
          <w:sz w:val="21"/>
          <w:szCs w:val="21"/>
          <w:lang w:val="en-US" w:eastAsia="zh-CN"/>
        </w:rPr>
        <w:t xml:space="preserve">RAN 2 to </w:t>
      </w:r>
      <w:r>
        <w:rPr>
          <w:rFonts w:hint="eastAsia" w:cs="Times New Roman"/>
          <w:b/>
          <w:bCs/>
          <w:sz w:val="21"/>
          <w:szCs w:val="21"/>
          <w:lang w:val="en-US" w:eastAsia="zh-CN"/>
        </w:rPr>
        <w:t xml:space="preserve">agree the </w:t>
      </w:r>
      <w:r>
        <w:rPr>
          <w:rFonts w:hint="default" w:cs="Times New Roman"/>
          <w:b/>
          <w:bCs/>
          <w:sz w:val="21"/>
          <w:szCs w:val="21"/>
          <w:lang w:val="en-US" w:eastAsia="zh-CN"/>
        </w:rPr>
        <w:t>number</w:t>
      </w:r>
      <w:r>
        <w:rPr>
          <w:rFonts w:hint="eastAsia" w:cs="Times New Roman"/>
          <w:b/>
          <w:bCs/>
          <w:sz w:val="21"/>
          <w:szCs w:val="21"/>
          <w:lang w:val="en-US" w:eastAsia="zh-CN"/>
        </w:rPr>
        <w:t xml:space="preserve"> of t</w:t>
      </w:r>
      <w:r>
        <w:rPr>
          <w:rFonts w:hint="default" w:cs="Times New Roman"/>
          <w:b/>
          <w:bCs/>
          <w:sz w:val="21"/>
          <w:szCs w:val="21"/>
          <w:lang w:val="en-US" w:eastAsia="zh-CN"/>
        </w:rPr>
        <w:t>riggering</w:t>
      </w:r>
      <w:r>
        <w:rPr>
          <w:rFonts w:hint="eastAsia" w:cs="Times New Roman"/>
          <w:b/>
          <w:bCs/>
          <w:sz w:val="21"/>
          <w:szCs w:val="21"/>
          <w:lang w:val="en-US" w:eastAsia="zh-CN"/>
        </w:rPr>
        <w:t xml:space="preserve"> c</w:t>
      </w:r>
      <w:r>
        <w:rPr>
          <w:rFonts w:hint="default" w:cs="Times New Roman"/>
          <w:b/>
          <w:bCs/>
          <w:sz w:val="21"/>
          <w:szCs w:val="21"/>
          <w:lang w:val="en-US" w:eastAsia="zh-CN"/>
        </w:rPr>
        <w:t xml:space="preserve">ells </w:t>
      </w:r>
      <w:r>
        <w:rPr>
          <w:rFonts w:hint="eastAsia" w:cs="Times New Roman"/>
          <w:b/>
          <w:bCs/>
          <w:sz w:val="21"/>
          <w:szCs w:val="21"/>
          <w:lang w:val="en-US" w:eastAsia="zh-CN"/>
        </w:rPr>
        <w:t>mechanism is extended to</w:t>
      </w:r>
      <w:r>
        <w:rPr>
          <w:rFonts w:hint="default" w:cs="Times New Roman"/>
          <w:b/>
          <w:bCs/>
          <w:sz w:val="21"/>
          <w:szCs w:val="21"/>
          <w:lang w:val="en-US" w:eastAsia="zh-CN"/>
        </w:rPr>
        <w:t xml:space="preserve"> Events B1 and B2.</w:t>
      </w:r>
    </w:p>
    <w:p>
      <w:pPr>
        <w:widowControl w:val="0"/>
        <w:numPr>
          <w:ilvl w:val="0"/>
          <w:numId w:val="0"/>
        </w:numPr>
        <w:ind w:leftChars="0"/>
        <w:jc w:val="both"/>
        <w:rPr>
          <w:rFonts w:hint="default" w:cs="Times New Roman"/>
          <w:i/>
          <w:iCs/>
          <w:sz w:val="21"/>
          <w:szCs w:val="21"/>
          <w:lang w:val="en-US" w:eastAsia="zh-CN"/>
        </w:rPr>
      </w:pPr>
      <w:r>
        <w:rPr>
          <w:rFonts w:hint="default" w:cs="Times New Roman"/>
          <w:i/>
          <w:iCs/>
          <w:sz w:val="21"/>
          <w:szCs w:val="21"/>
          <w:lang w:val="en-US" w:eastAsia="zh-CN"/>
        </w:rPr>
        <w:t xml:space="preserve">Observation </w:t>
      </w:r>
      <w:r>
        <w:rPr>
          <w:rFonts w:hint="eastAsia" w:cs="Times New Roman"/>
          <w:i/>
          <w:iCs/>
          <w:sz w:val="21"/>
          <w:szCs w:val="21"/>
          <w:lang w:val="en-US" w:eastAsia="zh-CN"/>
        </w:rPr>
        <w:t>10</w:t>
      </w:r>
      <w:r>
        <w:rPr>
          <w:rFonts w:hint="default" w:cs="Times New Roman"/>
          <w:i/>
          <w:iCs/>
          <w:sz w:val="21"/>
          <w:szCs w:val="21"/>
          <w:lang w:val="en-US" w:eastAsia="zh-CN"/>
        </w:rPr>
        <w:t xml:space="preserve">: In NR, the cell quality is derived based on the consolidation of one or multiple beam measurements. The interference detection requirement may differ from the LTE, e.g. one or two beams from the neighbour cells with strong RSRP are possible to cause interference to the serving cell. </w:t>
      </w:r>
    </w:p>
    <w:p>
      <w:pPr>
        <w:widowControl w:val="0"/>
        <w:numPr>
          <w:ilvl w:val="0"/>
          <w:numId w:val="0"/>
        </w:numPr>
        <w:ind w:leftChars="0"/>
        <w:jc w:val="both"/>
        <w:rPr>
          <w:rFonts w:hint="eastAsia" w:cs="Times New Roman"/>
          <w:b/>
          <w:bCs/>
          <w:sz w:val="21"/>
          <w:szCs w:val="21"/>
          <w:lang w:val="en-US" w:eastAsia="zh-CN"/>
        </w:rPr>
      </w:pPr>
      <w:r>
        <w:rPr>
          <w:rFonts w:hint="default" w:cs="Times New Roman"/>
          <w:b/>
          <w:bCs/>
          <w:sz w:val="21"/>
          <w:szCs w:val="21"/>
          <w:lang w:val="en-US" w:eastAsia="zh-CN"/>
        </w:rPr>
        <w:t xml:space="preserve">Proposal </w:t>
      </w:r>
      <w:r>
        <w:rPr>
          <w:rFonts w:hint="eastAsia" w:cs="Times New Roman"/>
          <w:b/>
          <w:bCs/>
          <w:sz w:val="21"/>
          <w:szCs w:val="21"/>
          <w:lang w:val="en-US" w:eastAsia="zh-CN"/>
        </w:rPr>
        <w:t>11</w:t>
      </w:r>
      <w:r>
        <w:rPr>
          <w:rFonts w:hint="default" w:cs="Times New Roman"/>
          <w:b/>
          <w:bCs/>
          <w:sz w:val="21"/>
          <w:szCs w:val="21"/>
          <w:lang w:val="en-US" w:eastAsia="zh-CN"/>
        </w:rPr>
        <w:t>:</w:t>
      </w:r>
      <w:r>
        <w:rPr>
          <w:rFonts w:hint="default" w:cs="Times New Roman"/>
          <w:b/>
          <w:bCs/>
          <w:sz w:val="21"/>
          <w:szCs w:val="21"/>
          <w:lang w:val="en-US" w:eastAsia="zh-CN"/>
        </w:rPr>
        <w:tab/>
      </w:r>
      <w:r>
        <w:rPr>
          <w:rFonts w:hint="default" w:cs="Times New Roman"/>
          <w:b/>
          <w:bCs/>
          <w:sz w:val="21"/>
          <w:szCs w:val="21"/>
          <w:lang w:val="en-US" w:eastAsia="zh-CN"/>
        </w:rPr>
        <w:t>RAN2</w:t>
      </w:r>
      <w:r>
        <w:rPr>
          <w:rFonts w:hint="eastAsia" w:cs="Times New Roman"/>
          <w:b/>
          <w:bCs/>
          <w:sz w:val="21"/>
          <w:szCs w:val="21"/>
          <w:lang w:val="en-US" w:eastAsia="zh-CN"/>
        </w:rPr>
        <w:t xml:space="preserve"> to</w:t>
      </w:r>
      <w:r>
        <w:rPr>
          <w:rFonts w:hint="default" w:cs="Times New Roman"/>
          <w:b/>
          <w:bCs/>
          <w:sz w:val="21"/>
          <w:szCs w:val="21"/>
          <w:lang w:val="en-US" w:eastAsia="zh-CN"/>
        </w:rPr>
        <w:t xml:space="preserve"> consider </w:t>
      </w:r>
      <w:r>
        <w:rPr>
          <w:rFonts w:hint="eastAsia" w:cs="Times New Roman"/>
          <w:b/>
          <w:bCs/>
          <w:sz w:val="21"/>
          <w:szCs w:val="21"/>
          <w:lang w:val="en-US" w:eastAsia="zh-CN"/>
        </w:rPr>
        <w:t>to</w:t>
      </w:r>
      <w:r>
        <w:rPr>
          <w:rFonts w:hint="default" w:cs="Times New Roman"/>
          <w:b/>
          <w:bCs/>
          <w:sz w:val="21"/>
          <w:szCs w:val="21"/>
          <w:lang w:val="en-US" w:eastAsia="zh-CN"/>
        </w:rPr>
        <w:t xml:space="preserve"> introduce separate criteria</w:t>
      </w:r>
      <w:r>
        <w:rPr>
          <w:rFonts w:hint="eastAsia" w:cs="Times New Roman"/>
          <w:b/>
          <w:bCs/>
          <w:sz w:val="21"/>
          <w:szCs w:val="21"/>
          <w:lang w:val="en-US" w:eastAsia="zh-CN"/>
        </w:rPr>
        <w:t>/</w:t>
      </w:r>
      <w:r>
        <w:rPr>
          <w:rFonts w:hint="default" w:cs="Times New Roman"/>
          <w:b/>
          <w:bCs/>
          <w:sz w:val="21"/>
          <w:szCs w:val="21"/>
          <w:lang w:val="en-US" w:eastAsia="zh-CN"/>
        </w:rPr>
        <w:t xml:space="preserve">parameters for cell quality derivation </w:t>
      </w:r>
      <w:r>
        <w:rPr>
          <w:rFonts w:hint="eastAsia" w:cs="Times New Roman"/>
          <w:b/>
          <w:bCs/>
          <w:sz w:val="21"/>
          <w:szCs w:val="21"/>
          <w:lang w:val="en-US" w:eastAsia="zh-CN"/>
        </w:rPr>
        <w:t xml:space="preserve">for </w:t>
      </w:r>
      <w:r>
        <w:rPr>
          <w:rFonts w:hint="default" w:cs="Times New Roman"/>
          <w:b/>
          <w:bCs/>
          <w:sz w:val="21"/>
          <w:szCs w:val="21"/>
          <w:lang w:val="en-US" w:eastAsia="zh-CN"/>
        </w:rPr>
        <w:t>interference detection.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p>
    <w:p>
      <w:pPr>
        <w:numPr>
          <w:ilvl w:val="0"/>
          <w:numId w:val="7"/>
        </w:numPr>
        <w:overflowPunct w:val="0"/>
        <w:autoSpaceDE w:val="0"/>
        <w:autoSpaceDN w:val="0"/>
        <w:adjustRightInd w:val="0"/>
        <w:textAlignment w:val="baseline"/>
      </w:pPr>
      <w:r>
        <w:rPr>
          <w:rFonts w:hint="eastAsia"/>
          <w:lang w:val="en-US" w:eastAsia="zh-CN"/>
        </w:rPr>
        <w:t>R2-23xxxxx  Report from [Post120][312][UAV] Mobility Control for UAVs (Nokia)  Nokia</w:t>
      </w:r>
    </w:p>
    <w:p>
      <w:pPr>
        <w:numPr>
          <w:ilvl w:val="0"/>
          <w:numId w:val="7"/>
        </w:numPr>
        <w:overflowPunct w:val="0"/>
        <w:autoSpaceDE w:val="0"/>
        <w:autoSpaceDN w:val="0"/>
        <w:adjustRightInd w:val="0"/>
        <w:textAlignment w:val="baseline"/>
        <w:rPr>
          <w:rFonts w:hint="eastAsia"/>
          <w:lang w:val="en-US" w:eastAsia="zh-CN"/>
        </w:rPr>
      </w:pPr>
      <w:r>
        <w:rPr>
          <w:rFonts w:hint="eastAsia"/>
          <w:lang w:val="en-US" w:eastAsia="zh-CN"/>
        </w:rPr>
        <w:t>R2-23xxxxx  Report of [Post120][313][UAV] Interference Control for UAVs (Huawei)  Huawei</w:t>
      </w:r>
    </w:p>
    <w:p>
      <w:pPr>
        <w:rPr>
          <w:rFonts w:hint="default"/>
          <w:lang w:val="en-US" w:eastAsia="zh-CN"/>
        </w:rPr>
      </w:pPr>
    </w:p>
    <w:sectPr>
      <w:pgSz w:w="11906" w:h="16838"/>
      <w:pgMar w:top="1440" w:right="1274" w:bottom="1440" w:left="851"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roman"/>
    <w:pitch w:val="default"/>
    <w:sig w:usb0="00000000" w:usb1="00000000" w:usb2="00000012" w:usb3="00000000" w:csb0="4002009F" w:csb1="DFD7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Batang">
    <w:altName w:val="Malgun Gothic"/>
    <w:panose1 w:val="02030600000101010101"/>
    <w:charset w:val="81"/>
    <w:family w:val="auto"/>
    <w:pitch w:val="default"/>
    <w:sig w:usb0="00000000" w:usb1="00000000" w:usb2="00000030" w:usb3="00000000" w:csb0="400800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2E7A45A"/>
    <w:multiLevelType w:val="singleLevel"/>
    <w:tmpl w:val="C2E7A45A"/>
    <w:lvl w:ilvl="0" w:tentative="0">
      <w:start w:val="1"/>
      <w:numFmt w:val="bullet"/>
      <w:lvlText w:val=""/>
      <w:lvlJc w:val="left"/>
      <w:pPr>
        <w:tabs>
          <w:tab w:val="left" w:pos="420"/>
        </w:tabs>
        <w:ind w:left="840" w:hanging="420"/>
      </w:pPr>
      <w:rPr>
        <w:rFonts w:hint="default" w:ascii="Wingdings" w:hAnsi="Wingdings"/>
      </w:rPr>
    </w:lvl>
  </w:abstractNum>
  <w:abstractNum w:abstractNumId="1">
    <w:nsid w:val="E56C1E69"/>
    <w:multiLevelType w:val="singleLevel"/>
    <w:tmpl w:val="E56C1E69"/>
    <w:lvl w:ilvl="0" w:tentative="0">
      <w:start w:val="1"/>
      <w:numFmt w:val="bullet"/>
      <w:lvlText w:val=""/>
      <w:lvlJc w:val="left"/>
      <w:pPr>
        <w:ind w:left="420" w:hanging="420"/>
      </w:pPr>
      <w:rPr>
        <w:rFonts w:hint="default" w:ascii="Wingdings" w:hAnsi="Wingdings"/>
      </w:rPr>
    </w:lvl>
  </w:abstractNum>
  <w:abstractNum w:abstractNumId="2">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3"/>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3">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5">
    <w:nsid w:val="3A05AF29"/>
    <w:multiLevelType w:val="multilevel"/>
    <w:tmpl w:val="3A05AF29"/>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2"/>
  </w:num>
  <w:num w:numId="2">
    <w:abstractNumId w:val="6"/>
  </w:num>
  <w:num w:numId="3">
    <w:abstractNumId w:val="3"/>
  </w:num>
  <w:num w:numId="4">
    <w:abstractNumId w:val="1"/>
  </w:num>
  <w:num w:numId="5">
    <w:abstractNumId w:val="0"/>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70"/>
  <w:bordersDoNotSurroundHeader w:val="0"/>
  <w:bordersDoNotSurroundFooter w:val="0"/>
  <w:documentProtection w:enforcement="0"/>
  <w:defaultTabStop w:val="420"/>
  <w:hyphenationZone w:val="283"/>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6BC"/>
    <w:rsid w:val="00001366"/>
    <w:rsid w:val="000055B1"/>
    <w:rsid w:val="000103E7"/>
    <w:rsid w:val="00011CDF"/>
    <w:rsid w:val="00013FAD"/>
    <w:rsid w:val="00016A27"/>
    <w:rsid w:val="000172F4"/>
    <w:rsid w:val="00017BA5"/>
    <w:rsid w:val="00021259"/>
    <w:rsid w:val="00021359"/>
    <w:rsid w:val="000248FC"/>
    <w:rsid w:val="0002660A"/>
    <w:rsid w:val="00026899"/>
    <w:rsid w:val="0002698B"/>
    <w:rsid w:val="00035EF9"/>
    <w:rsid w:val="00037973"/>
    <w:rsid w:val="00040427"/>
    <w:rsid w:val="00040A63"/>
    <w:rsid w:val="0004105F"/>
    <w:rsid w:val="00042E6F"/>
    <w:rsid w:val="00043923"/>
    <w:rsid w:val="000563ED"/>
    <w:rsid w:val="000569AB"/>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28B8"/>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1E5B"/>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B22C6"/>
    <w:rsid w:val="002B24A3"/>
    <w:rsid w:val="002B2BBC"/>
    <w:rsid w:val="002B351B"/>
    <w:rsid w:val="002B3B5D"/>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12A7"/>
    <w:rsid w:val="00312C1A"/>
    <w:rsid w:val="00312DD1"/>
    <w:rsid w:val="00313308"/>
    <w:rsid w:val="003144CA"/>
    <w:rsid w:val="003171FD"/>
    <w:rsid w:val="003201FC"/>
    <w:rsid w:val="00321077"/>
    <w:rsid w:val="00322EDB"/>
    <w:rsid w:val="00325119"/>
    <w:rsid w:val="0032622A"/>
    <w:rsid w:val="003268BB"/>
    <w:rsid w:val="00330072"/>
    <w:rsid w:val="00330B4E"/>
    <w:rsid w:val="0033176D"/>
    <w:rsid w:val="0033343A"/>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5C87"/>
    <w:rsid w:val="003863DA"/>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276"/>
    <w:rsid w:val="004A5D00"/>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1DC0"/>
    <w:rsid w:val="00522736"/>
    <w:rsid w:val="00525585"/>
    <w:rsid w:val="00525D1A"/>
    <w:rsid w:val="0052657B"/>
    <w:rsid w:val="00533C44"/>
    <w:rsid w:val="00534869"/>
    <w:rsid w:val="00536465"/>
    <w:rsid w:val="005371D2"/>
    <w:rsid w:val="00537528"/>
    <w:rsid w:val="00542ED7"/>
    <w:rsid w:val="00545A76"/>
    <w:rsid w:val="00545F9C"/>
    <w:rsid w:val="005506C7"/>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3332"/>
    <w:rsid w:val="005D57F1"/>
    <w:rsid w:val="005D680C"/>
    <w:rsid w:val="005E06D3"/>
    <w:rsid w:val="005E27C0"/>
    <w:rsid w:val="005E3AE4"/>
    <w:rsid w:val="005E4F1C"/>
    <w:rsid w:val="005F097D"/>
    <w:rsid w:val="005F1004"/>
    <w:rsid w:val="005F1FAE"/>
    <w:rsid w:val="005F42AD"/>
    <w:rsid w:val="005F4A01"/>
    <w:rsid w:val="005F56A6"/>
    <w:rsid w:val="005F5717"/>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024"/>
    <w:rsid w:val="006521E7"/>
    <w:rsid w:val="00655018"/>
    <w:rsid w:val="0065579F"/>
    <w:rsid w:val="0066451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5A25"/>
    <w:rsid w:val="007E0F24"/>
    <w:rsid w:val="007E17B1"/>
    <w:rsid w:val="007E27C0"/>
    <w:rsid w:val="007E37F4"/>
    <w:rsid w:val="007E4716"/>
    <w:rsid w:val="007E6E32"/>
    <w:rsid w:val="007E771D"/>
    <w:rsid w:val="007F3C31"/>
    <w:rsid w:val="007F3DA7"/>
    <w:rsid w:val="007F4203"/>
    <w:rsid w:val="007F502E"/>
    <w:rsid w:val="007F65F6"/>
    <w:rsid w:val="007F6A42"/>
    <w:rsid w:val="008013CA"/>
    <w:rsid w:val="008026A6"/>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3BB"/>
    <w:rsid w:val="00853419"/>
    <w:rsid w:val="00855CBD"/>
    <w:rsid w:val="00856F99"/>
    <w:rsid w:val="00857C0F"/>
    <w:rsid w:val="00860FE6"/>
    <w:rsid w:val="00864678"/>
    <w:rsid w:val="00864D17"/>
    <w:rsid w:val="008719DB"/>
    <w:rsid w:val="00872250"/>
    <w:rsid w:val="008731B8"/>
    <w:rsid w:val="00873D16"/>
    <w:rsid w:val="00876842"/>
    <w:rsid w:val="008775A0"/>
    <w:rsid w:val="00880F6C"/>
    <w:rsid w:val="00884241"/>
    <w:rsid w:val="008855E2"/>
    <w:rsid w:val="00886521"/>
    <w:rsid w:val="008937A3"/>
    <w:rsid w:val="0089509A"/>
    <w:rsid w:val="008A0AC8"/>
    <w:rsid w:val="008A4FE1"/>
    <w:rsid w:val="008A5E28"/>
    <w:rsid w:val="008A6A82"/>
    <w:rsid w:val="008B4198"/>
    <w:rsid w:val="008B4609"/>
    <w:rsid w:val="008B725C"/>
    <w:rsid w:val="008C051E"/>
    <w:rsid w:val="008C1D6D"/>
    <w:rsid w:val="008C3F98"/>
    <w:rsid w:val="008C76B1"/>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04391"/>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3E5E"/>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C495C"/>
    <w:rsid w:val="009D159F"/>
    <w:rsid w:val="009D213B"/>
    <w:rsid w:val="009D2A16"/>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3708"/>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17225"/>
    <w:rsid w:val="00B22E8C"/>
    <w:rsid w:val="00B23604"/>
    <w:rsid w:val="00B2566A"/>
    <w:rsid w:val="00B34561"/>
    <w:rsid w:val="00B41694"/>
    <w:rsid w:val="00B41E8C"/>
    <w:rsid w:val="00B425D5"/>
    <w:rsid w:val="00B427B9"/>
    <w:rsid w:val="00B43371"/>
    <w:rsid w:val="00B4458B"/>
    <w:rsid w:val="00B44CA2"/>
    <w:rsid w:val="00B454AE"/>
    <w:rsid w:val="00B500E6"/>
    <w:rsid w:val="00B5038B"/>
    <w:rsid w:val="00B52464"/>
    <w:rsid w:val="00B55CF3"/>
    <w:rsid w:val="00B57690"/>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C03E1"/>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621A1"/>
    <w:rsid w:val="00C63153"/>
    <w:rsid w:val="00C63CB8"/>
    <w:rsid w:val="00C65327"/>
    <w:rsid w:val="00C67382"/>
    <w:rsid w:val="00C6763C"/>
    <w:rsid w:val="00C72471"/>
    <w:rsid w:val="00C8086B"/>
    <w:rsid w:val="00C80B6E"/>
    <w:rsid w:val="00C82D97"/>
    <w:rsid w:val="00C84D14"/>
    <w:rsid w:val="00C86541"/>
    <w:rsid w:val="00C86840"/>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43B7"/>
    <w:rsid w:val="00CC46C5"/>
    <w:rsid w:val="00CD229F"/>
    <w:rsid w:val="00CE13DD"/>
    <w:rsid w:val="00CE2D1F"/>
    <w:rsid w:val="00CE4309"/>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DFD"/>
    <w:rsid w:val="00D45E14"/>
    <w:rsid w:val="00D4755C"/>
    <w:rsid w:val="00D52834"/>
    <w:rsid w:val="00D53DA7"/>
    <w:rsid w:val="00D544FE"/>
    <w:rsid w:val="00D54C61"/>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A99"/>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5DCA"/>
    <w:rsid w:val="00E468CA"/>
    <w:rsid w:val="00E521EE"/>
    <w:rsid w:val="00E52C0C"/>
    <w:rsid w:val="00E61FB3"/>
    <w:rsid w:val="00E62B3D"/>
    <w:rsid w:val="00E6315A"/>
    <w:rsid w:val="00E65E86"/>
    <w:rsid w:val="00E71B00"/>
    <w:rsid w:val="00E73C7F"/>
    <w:rsid w:val="00E73F72"/>
    <w:rsid w:val="00E740D9"/>
    <w:rsid w:val="00E8224F"/>
    <w:rsid w:val="00E853FB"/>
    <w:rsid w:val="00E85E3C"/>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0F21"/>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913"/>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06F8"/>
    <w:rsid w:val="00FD33A2"/>
    <w:rsid w:val="00FD3E74"/>
    <w:rsid w:val="00FD6206"/>
    <w:rsid w:val="00FD710E"/>
    <w:rsid w:val="00FE053F"/>
    <w:rsid w:val="00FE09E7"/>
    <w:rsid w:val="00FE2161"/>
    <w:rsid w:val="00FE58B6"/>
    <w:rsid w:val="00FE7430"/>
    <w:rsid w:val="00FF0471"/>
    <w:rsid w:val="00FF0AAD"/>
    <w:rsid w:val="00FF29CE"/>
    <w:rsid w:val="00FF2E7C"/>
    <w:rsid w:val="00FF2EAF"/>
    <w:rsid w:val="00FF33F4"/>
    <w:rsid w:val="01131166"/>
    <w:rsid w:val="015074D5"/>
    <w:rsid w:val="016210DF"/>
    <w:rsid w:val="0165600B"/>
    <w:rsid w:val="016E3B27"/>
    <w:rsid w:val="01765EF2"/>
    <w:rsid w:val="01767489"/>
    <w:rsid w:val="0185508D"/>
    <w:rsid w:val="01910DD3"/>
    <w:rsid w:val="01920B2D"/>
    <w:rsid w:val="01943782"/>
    <w:rsid w:val="01977F6A"/>
    <w:rsid w:val="01A46D0E"/>
    <w:rsid w:val="01A5265A"/>
    <w:rsid w:val="01A975EB"/>
    <w:rsid w:val="01AC40BD"/>
    <w:rsid w:val="01AE3B73"/>
    <w:rsid w:val="01AF7A72"/>
    <w:rsid w:val="01B13560"/>
    <w:rsid w:val="01BE26E7"/>
    <w:rsid w:val="01C05D49"/>
    <w:rsid w:val="01C66A3F"/>
    <w:rsid w:val="01CD316B"/>
    <w:rsid w:val="01EE78D1"/>
    <w:rsid w:val="02017286"/>
    <w:rsid w:val="02115596"/>
    <w:rsid w:val="0212463B"/>
    <w:rsid w:val="02142423"/>
    <w:rsid w:val="02145888"/>
    <w:rsid w:val="021627D8"/>
    <w:rsid w:val="02193BD4"/>
    <w:rsid w:val="022D295E"/>
    <w:rsid w:val="02380A58"/>
    <w:rsid w:val="024412BB"/>
    <w:rsid w:val="02490685"/>
    <w:rsid w:val="024A4AC8"/>
    <w:rsid w:val="024B320F"/>
    <w:rsid w:val="02657A19"/>
    <w:rsid w:val="02664651"/>
    <w:rsid w:val="02737CFE"/>
    <w:rsid w:val="02825D7D"/>
    <w:rsid w:val="028A67A0"/>
    <w:rsid w:val="028B3E82"/>
    <w:rsid w:val="028C6FA5"/>
    <w:rsid w:val="028F0371"/>
    <w:rsid w:val="0293518F"/>
    <w:rsid w:val="0297259A"/>
    <w:rsid w:val="029C0A9A"/>
    <w:rsid w:val="02A2536A"/>
    <w:rsid w:val="02A7793D"/>
    <w:rsid w:val="02BA02BA"/>
    <w:rsid w:val="02C62E55"/>
    <w:rsid w:val="02E712F2"/>
    <w:rsid w:val="02E968F1"/>
    <w:rsid w:val="03130048"/>
    <w:rsid w:val="03202434"/>
    <w:rsid w:val="03204437"/>
    <w:rsid w:val="033E499A"/>
    <w:rsid w:val="0347521D"/>
    <w:rsid w:val="035A5498"/>
    <w:rsid w:val="035B5483"/>
    <w:rsid w:val="03685A69"/>
    <w:rsid w:val="036C3B3B"/>
    <w:rsid w:val="037175E3"/>
    <w:rsid w:val="03857386"/>
    <w:rsid w:val="03892EFE"/>
    <w:rsid w:val="03994D1D"/>
    <w:rsid w:val="039A2405"/>
    <w:rsid w:val="039A4F82"/>
    <w:rsid w:val="039A7700"/>
    <w:rsid w:val="03A13B95"/>
    <w:rsid w:val="03B2360F"/>
    <w:rsid w:val="03BD31AF"/>
    <w:rsid w:val="03BE00C0"/>
    <w:rsid w:val="03D52450"/>
    <w:rsid w:val="03D63228"/>
    <w:rsid w:val="03E65927"/>
    <w:rsid w:val="03E9137F"/>
    <w:rsid w:val="03EB5E4F"/>
    <w:rsid w:val="03EC1D7B"/>
    <w:rsid w:val="03F148CD"/>
    <w:rsid w:val="03F334EB"/>
    <w:rsid w:val="03F61A65"/>
    <w:rsid w:val="03FE0DFE"/>
    <w:rsid w:val="04067142"/>
    <w:rsid w:val="040D6866"/>
    <w:rsid w:val="04167747"/>
    <w:rsid w:val="041C2081"/>
    <w:rsid w:val="042320E4"/>
    <w:rsid w:val="043C128A"/>
    <w:rsid w:val="043E7F06"/>
    <w:rsid w:val="044469A4"/>
    <w:rsid w:val="04456CA0"/>
    <w:rsid w:val="0451320B"/>
    <w:rsid w:val="045749CF"/>
    <w:rsid w:val="045763FA"/>
    <w:rsid w:val="046F1C6A"/>
    <w:rsid w:val="047034F5"/>
    <w:rsid w:val="04754B65"/>
    <w:rsid w:val="04861082"/>
    <w:rsid w:val="048A123B"/>
    <w:rsid w:val="048C5BD9"/>
    <w:rsid w:val="04996B65"/>
    <w:rsid w:val="04EB5671"/>
    <w:rsid w:val="04ED36E0"/>
    <w:rsid w:val="04FB5FD2"/>
    <w:rsid w:val="050C31AF"/>
    <w:rsid w:val="05174168"/>
    <w:rsid w:val="051E36E6"/>
    <w:rsid w:val="053166CA"/>
    <w:rsid w:val="05332C41"/>
    <w:rsid w:val="054C7D3F"/>
    <w:rsid w:val="054D4214"/>
    <w:rsid w:val="05526E77"/>
    <w:rsid w:val="056D39BD"/>
    <w:rsid w:val="05710C88"/>
    <w:rsid w:val="058267E3"/>
    <w:rsid w:val="058442CB"/>
    <w:rsid w:val="05961927"/>
    <w:rsid w:val="05B21BDC"/>
    <w:rsid w:val="05D1713F"/>
    <w:rsid w:val="05D92123"/>
    <w:rsid w:val="05DB1F60"/>
    <w:rsid w:val="05E024B6"/>
    <w:rsid w:val="05F13BE9"/>
    <w:rsid w:val="05F178AC"/>
    <w:rsid w:val="06017A73"/>
    <w:rsid w:val="06022874"/>
    <w:rsid w:val="060A555D"/>
    <w:rsid w:val="06136726"/>
    <w:rsid w:val="06293C52"/>
    <w:rsid w:val="06356426"/>
    <w:rsid w:val="063F71ED"/>
    <w:rsid w:val="06406186"/>
    <w:rsid w:val="06577E85"/>
    <w:rsid w:val="0665683F"/>
    <w:rsid w:val="066F0DC7"/>
    <w:rsid w:val="067851DF"/>
    <w:rsid w:val="067F0396"/>
    <w:rsid w:val="069621D1"/>
    <w:rsid w:val="069E5DC0"/>
    <w:rsid w:val="069F3235"/>
    <w:rsid w:val="06AF5E97"/>
    <w:rsid w:val="06B54B3C"/>
    <w:rsid w:val="06B87F70"/>
    <w:rsid w:val="06BB3C62"/>
    <w:rsid w:val="06CC4C2E"/>
    <w:rsid w:val="06CE3E32"/>
    <w:rsid w:val="06D97CA7"/>
    <w:rsid w:val="06DA5822"/>
    <w:rsid w:val="06EE5F3A"/>
    <w:rsid w:val="06F628A6"/>
    <w:rsid w:val="06F90F74"/>
    <w:rsid w:val="06FC5420"/>
    <w:rsid w:val="06FE56CC"/>
    <w:rsid w:val="0701056C"/>
    <w:rsid w:val="07056544"/>
    <w:rsid w:val="0706413A"/>
    <w:rsid w:val="070F4249"/>
    <w:rsid w:val="071E610B"/>
    <w:rsid w:val="07387A0E"/>
    <w:rsid w:val="07505A8A"/>
    <w:rsid w:val="075926F1"/>
    <w:rsid w:val="07625AB8"/>
    <w:rsid w:val="07722969"/>
    <w:rsid w:val="078158EA"/>
    <w:rsid w:val="07843668"/>
    <w:rsid w:val="07847AEC"/>
    <w:rsid w:val="079368A6"/>
    <w:rsid w:val="07965C3F"/>
    <w:rsid w:val="07A575C7"/>
    <w:rsid w:val="07AA6390"/>
    <w:rsid w:val="07B47F2F"/>
    <w:rsid w:val="07BE2890"/>
    <w:rsid w:val="07C4242C"/>
    <w:rsid w:val="07C84D70"/>
    <w:rsid w:val="07CF1963"/>
    <w:rsid w:val="07E121C2"/>
    <w:rsid w:val="07E62C3B"/>
    <w:rsid w:val="07EC790A"/>
    <w:rsid w:val="07F50292"/>
    <w:rsid w:val="07FE63E8"/>
    <w:rsid w:val="083D222A"/>
    <w:rsid w:val="083E7D1C"/>
    <w:rsid w:val="083F69AD"/>
    <w:rsid w:val="084B7ABB"/>
    <w:rsid w:val="08555405"/>
    <w:rsid w:val="08561FA2"/>
    <w:rsid w:val="08590F51"/>
    <w:rsid w:val="086334CF"/>
    <w:rsid w:val="08690BF0"/>
    <w:rsid w:val="0871466A"/>
    <w:rsid w:val="0877760D"/>
    <w:rsid w:val="08787E39"/>
    <w:rsid w:val="087F387F"/>
    <w:rsid w:val="08896E68"/>
    <w:rsid w:val="089E1AEE"/>
    <w:rsid w:val="08A1177C"/>
    <w:rsid w:val="08A310E0"/>
    <w:rsid w:val="08B02DDD"/>
    <w:rsid w:val="08BB6EAC"/>
    <w:rsid w:val="08BE13FA"/>
    <w:rsid w:val="08CA2035"/>
    <w:rsid w:val="08E33A5D"/>
    <w:rsid w:val="08EA1C68"/>
    <w:rsid w:val="08F22BC2"/>
    <w:rsid w:val="08F54145"/>
    <w:rsid w:val="08FC7AC7"/>
    <w:rsid w:val="08FE5C78"/>
    <w:rsid w:val="09021076"/>
    <w:rsid w:val="09065647"/>
    <w:rsid w:val="090968DC"/>
    <w:rsid w:val="0915066C"/>
    <w:rsid w:val="091959C4"/>
    <w:rsid w:val="092464BF"/>
    <w:rsid w:val="09330B6E"/>
    <w:rsid w:val="09392AF8"/>
    <w:rsid w:val="093E5899"/>
    <w:rsid w:val="094311F4"/>
    <w:rsid w:val="094F257F"/>
    <w:rsid w:val="09607DCD"/>
    <w:rsid w:val="096D227C"/>
    <w:rsid w:val="09712D2D"/>
    <w:rsid w:val="0980678C"/>
    <w:rsid w:val="098246C4"/>
    <w:rsid w:val="09A955D3"/>
    <w:rsid w:val="09B81315"/>
    <w:rsid w:val="09C068A5"/>
    <w:rsid w:val="09C1228B"/>
    <w:rsid w:val="09CA0AC6"/>
    <w:rsid w:val="09D50EC2"/>
    <w:rsid w:val="09F46281"/>
    <w:rsid w:val="09F546E9"/>
    <w:rsid w:val="09F7192D"/>
    <w:rsid w:val="09FD4DBD"/>
    <w:rsid w:val="0A090AAC"/>
    <w:rsid w:val="0A137A02"/>
    <w:rsid w:val="0A204B1C"/>
    <w:rsid w:val="0A2E5DB1"/>
    <w:rsid w:val="0A2F46DB"/>
    <w:rsid w:val="0A324A8A"/>
    <w:rsid w:val="0A337541"/>
    <w:rsid w:val="0A386426"/>
    <w:rsid w:val="0A4E1BB6"/>
    <w:rsid w:val="0A51312B"/>
    <w:rsid w:val="0A575370"/>
    <w:rsid w:val="0A5B4AEA"/>
    <w:rsid w:val="0A5C2E75"/>
    <w:rsid w:val="0A6277D4"/>
    <w:rsid w:val="0A6614C9"/>
    <w:rsid w:val="0A664AD3"/>
    <w:rsid w:val="0A7232D3"/>
    <w:rsid w:val="0A97216E"/>
    <w:rsid w:val="0A9C11D4"/>
    <w:rsid w:val="0AA5549A"/>
    <w:rsid w:val="0AAE3C34"/>
    <w:rsid w:val="0AB57D41"/>
    <w:rsid w:val="0AB74037"/>
    <w:rsid w:val="0ABB64D4"/>
    <w:rsid w:val="0ABF5314"/>
    <w:rsid w:val="0AF957A7"/>
    <w:rsid w:val="0AFB4824"/>
    <w:rsid w:val="0B104C80"/>
    <w:rsid w:val="0B1537E9"/>
    <w:rsid w:val="0B1B0258"/>
    <w:rsid w:val="0B1D1E17"/>
    <w:rsid w:val="0B2F5449"/>
    <w:rsid w:val="0B3A6177"/>
    <w:rsid w:val="0B542366"/>
    <w:rsid w:val="0B565EA1"/>
    <w:rsid w:val="0B566656"/>
    <w:rsid w:val="0B5841D8"/>
    <w:rsid w:val="0B625907"/>
    <w:rsid w:val="0B6D671D"/>
    <w:rsid w:val="0B800594"/>
    <w:rsid w:val="0B833CB9"/>
    <w:rsid w:val="0B8459A2"/>
    <w:rsid w:val="0B9502B4"/>
    <w:rsid w:val="0BA01E5E"/>
    <w:rsid w:val="0BA40793"/>
    <w:rsid w:val="0BB77542"/>
    <w:rsid w:val="0BC1136C"/>
    <w:rsid w:val="0BC87CC9"/>
    <w:rsid w:val="0BD9718B"/>
    <w:rsid w:val="0BE64BE6"/>
    <w:rsid w:val="0BEA1A76"/>
    <w:rsid w:val="0BEB698D"/>
    <w:rsid w:val="0BF23B14"/>
    <w:rsid w:val="0BF4523A"/>
    <w:rsid w:val="0BFD3E01"/>
    <w:rsid w:val="0C022CD6"/>
    <w:rsid w:val="0C0F2FEF"/>
    <w:rsid w:val="0C115C01"/>
    <w:rsid w:val="0C21687B"/>
    <w:rsid w:val="0C221921"/>
    <w:rsid w:val="0C2B7B6C"/>
    <w:rsid w:val="0C35257F"/>
    <w:rsid w:val="0C4E0C6C"/>
    <w:rsid w:val="0C5C4277"/>
    <w:rsid w:val="0C70637B"/>
    <w:rsid w:val="0C710975"/>
    <w:rsid w:val="0C7A6655"/>
    <w:rsid w:val="0C7D69BF"/>
    <w:rsid w:val="0C97562A"/>
    <w:rsid w:val="0CB47222"/>
    <w:rsid w:val="0CB5613D"/>
    <w:rsid w:val="0CCA31B6"/>
    <w:rsid w:val="0CCE60AE"/>
    <w:rsid w:val="0CE2368A"/>
    <w:rsid w:val="0CE55396"/>
    <w:rsid w:val="0CF31DF7"/>
    <w:rsid w:val="0CF40AF8"/>
    <w:rsid w:val="0D1F6EAF"/>
    <w:rsid w:val="0D2C3BFA"/>
    <w:rsid w:val="0D3C52DB"/>
    <w:rsid w:val="0D4618D1"/>
    <w:rsid w:val="0D470E01"/>
    <w:rsid w:val="0D5412D9"/>
    <w:rsid w:val="0D563E1D"/>
    <w:rsid w:val="0D5D28E6"/>
    <w:rsid w:val="0D651FC1"/>
    <w:rsid w:val="0D6D666D"/>
    <w:rsid w:val="0D6E7297"/>
    <w:rsid w:val="0D7545AF"/>
    <w:rsid w:val="0D781F4A"/>
    <w:rsid w:val="0D784EF3"/>
    <w:rsid w:val="0D823563"/>
    <w:rsid w:val="0D8C2318"/>
    <w:rsid w:val="0D916371"/>
    <w:rsid w:val="0D9F62EE"/>
    <w:rsid w:val="0DA858B9"/>
    <w:rsid w:val="0DB83232"/>
    <w:rsid w:val="0DBC5333"/>
    <w:rsid w:val="0DBE49F8"/>
    <w:rsid w:val="0DBF18EC"/>
    <w:rsid w:val="0DC96810"/>
    <w:rsid w:val="0DCC121C"/>
    <w:rsid w:val="0DCF5D35"/>
    <w:rsid w:val="0DD11D57"/>
    <w:rsid w:val="0DE7427C"/>
    <w:rsid w:val="0DED07C4"/>
    <w:rsid w:val="0DEE33D9"/>
    <w:rsid w:val="0DF1033C"/>
    <w:rsid w:val="0DFE5905"/>
    <w:rsid w:val="0E022856"/>
    <w:rsid w:val="0E0B52D7"/>
    <w:rsid w:val="0E104D98"/>
    <w:rsid w:val="0E1369CD"/>
    <w:rsid w:val="0E28192B"/>
    <w:rsid w:val="0E2F597F"/>
    <w:rsid w:val="0E37108C"/>
    <w:rsid w:val="0E3B3740"/>
    <w:rsid w:val="0E4D26CC"/>
    <w:rsid w:val="0E560EFD"/>
    <w:rsid w:val="0E6A01E6"/>
    <w:rsid w:val="0E8C09CF"/>
    <w:rsid w:val="0E8D03D6"/>
    <w:rsid w:val="0E8D7C6B"/>
    <w:rsid w:val="0E930DC4"/>
    <w:rsid w:val="0EA41BE0"/>
    <w:rsid w:val="0EAD2320"/>
    <w:rsid w:val="0EB12EAE"/>
    <w:rsid w:val="0EC509E4"/>
    <w:rsid w:val="0ECC22F2"/>
    <w:rsid w:val="0ED4677A"/>
    <w:rsid w:val="0ED64E1A"/>
    <w:rsid w:val="0EDC06F9"/>
    <w:rsid w:val="0EE1071D"/>
    <w:rsid w:val="0EF05D44"/>
    <w:rsid w:val="0EFD6649"/>
    <w:rsid w:val="0EFF4DCA"/>
    <w:rsid w:val="0F024FD6"/>
    <w:rsid w:val="0F0869CE"/>
    <w:rsid w:val="0F0F0B31"/>
    <w:rsid w:val="0F0F6DBD"/>
    <w:rsid w:val="0F1028FC"/>
    <w:rsid w:val="0F13714E"/>
    <w:rsid w:val="0F1B123C"/>
    <w:rsid w:val="0F217358"/>
    <w:rsid w:val="0F2532AC"/>
    <w:rsid w:val="0F2D7AB0"/>
    <w:rsid w:val="0F3D7225"/>
    <w:rsid w:val="0F424B0D"/>
    <w:rsid w:val="0F4501A0"/>
    <w:rsid w:val="0F4A1CDE"/>
    <w:rsid w:val="0F4A7E65"/>
    <w:rsid w:val="0F557405"/>
    <w:rsid w:val="0F5626C1"/>
    <w:rsid w:val="0F63349B"/>
    <w:rsid w:val="0F634273"/>
    <w:rsid w:val="0F657649"/>
    <w:rsid w:val="0F790B07"/>
    <w:rsid w:val="0F7F7301"/>
    <w:rsid w:val="0F847A92"/>
    <w:rsid w:val="0F99304D"/>
    <w:rsid w:val="0F9D3AE8"/>
    <w:rsid w:val="0FA351C5"/>
    <w:rsid w:val="0FB52E3F"/>
    <w:rsid w:val="0FBF7F6A"/>
    <w:rsid w:val="0FCC249F"/>
    <w:rsid w:val="0FD97329"/>
    <w:rsid w:val="0FDD3ABD"/>
    <w:rsid w:val="0FDD41C9"/>
    <w:rsid w:val="0FDE34CC"/>
    <w:rsid w:val="0FDF1003"/>
    <w:rsid w:val="0FFC2B88"/>
    <w:rsid w:val="0FFD42FF"/>
    <w:rsid w:val="101207DA"/>
    <w:rsid w:val="10144ACE"/>
    <w:rsid w:val="1019048E"/>
    <w:rsid w:val="10192E34"/>
    <w:rsid w:val="10220ACB"/>
    <w:rsid w:val="10324C94"/>
    <w:rsid w:val="103E1201"/>
    <w:rsid w:val="104177FA"/>
    <w:rsid w:val="105553B4"/>
    <w:rsid w:val="105F2701"/>
    <w:rsid w:val="105F3355"/>
    <w:rsid w:val="10623B1A"/>
    <w:rsid w:val="10633DE5"/>
    <w:rsid w:val="106C51AC"/>
    <w:rsid w:val="107B7142"/>
    <w:rsid w:val="10834BCA"/>
    <w:rsid w:val="1085601B"/>
    <w:rsid w:val="10870262"/>
    <w:rsid w:val="10993A5B"/>
    <w:rsid w:val="109A2B86"/>
    <w:rsid w:val="109C7E53"/>
    <w:rsid w:val="109D01C9"/>
    <w:rsid w:val="109E5C77"/>
    <w:rsid w:val="10A15BAF"/>
    <w:rsid w:val="10A54549"/>
    <w:rsid w:val="10AD1F54"/>
    <w:rsid w:val="10B20497"/>
    <w:rsid w:val="10B2230B"/>
    <w:rsid w:val="10BA6965"/>
    <w:rsid w:val="10C91FA9"/>
    <w:rsid w:val="10D80BBB"/>
    <w:rsid w:val="10DC7FF8"/>
    <w:rsid w:val="110651DD"/>
    <w:rsid w:val="110A40E9"/>
    <w:rsid w:val="11186F4B"/>
    <w:rsid w:val="112A395D"/>
    <w:rsid w:val="112C68E5"/>
    <w:rsid w:val="11407272"/>
    <w:rsid w:val="114E07E1"/>
    <w:rsid w:val="115246AD"/>
    <w:rsid w:val="116C5EAE"/>
    <w:rsid w:val="116F5D3F"/>
    <w:rsid w:val="117E1607"/>
    <w:rsid w:val="1186675B"/>
    <w:rsid w:val="118D68C4"/>
    <w:rsid w:val="11941E54"/>
    <w:rsid w:val="11953B1A"/>
    <w:rsid w:val="11965A2F"/>
    <w:rsid w:val="11993508"/>
    <w:rsid w:val="11A52536"/>
    <w:rsid w:val="11B30D67"/>
    <w:rsid w:val="11CF6BAC"/>
    <w:rsid w:val="11DB1A57"/>
    <w:rsid w:val="11F33AF7"/>
    <w:rsid w:val="120209EA"/>
    <w:rsid w:val="1208044F"/>
    <w:rsid w:val="120838DF"/>
    <w:rsid w:val="121264F9"/>
    <w:rsid w:val="12164442"/>
    <w:rsid w:val="121E625C"/>
    <w:rsid w:val="12205607"/>
    <w:rsid w:val="12214918"/>
    <w:rsid w:val="122350B5"/>
    <w:rsid w:val="12376C75"/>
    <w:rsid w:val="125A2D78"/>
    <w:rsid w:val="125F75C5"/>
    <w:rsid w:val="127C42A0"/>
    <w:rsid w:val="127F297D"/>
    <w:rsid w:val="1281311E"/>
    <w:rsid w:val="129137BD"/>
    <w:rsid w:val="129E5216"/>
    <w:rsid w:val="12AB4AA1"/>
    <w:rsid w:val="12D86D99"/>
    <w:rsid w:val="12EF1DC3"/>
    <w:rsid w:val="12EF741A"/>
    <w:rsid w:val="12F254D0"/>
    <w:rsid w:val="12F3239A"/>
    <w:rsid w:val="12FE42D6"/>
    <w:rsid w:val="130A5E23"/>
    <w:rsid w:val="131C3CE3"/>
    <w:rsid w:val="131D5C4A"/>
    <w:rsid w:val="13207798"/>
    <w:rsid w:val="132A76BE"/>
    <w:rsid w:val="13353240"/>
    <w:rsid w:val="13492B60"/>
    <w:rsid w:val="135F7E8D"/>
    <w:rsid w:val="13611100"/>
    <w:rsid w:val="136345D4"/>
    <w:rsid w:val="1365208E"/>
    <w:rsid w:val="136A565B"/>
    <w:rsid w:val="136C1339"/>
    <w:rsid w:val="137C093B"/>
    <w:rsid w:val="137C409F"/>
    <w:rsid w:val="13930028"/>
    <w:rsid w:val="1396509F"/>
    <w:rsid w:val="13977F36"/>
    <w:rsid w:val="139D0995"/>
    <w:rsid w:val="13AE3872"/>
    <w:rsid w:val="13B567C3"/>
    <w:rsid w:val="13BB7F7B"/>
    <w:rsid w:val="13D94098"/>
    <w:rsid w:val="13DD35D9"/>
    <w:rsid w:val="13ED1CD8"/>
    <w:rsid w:val="13F54FCF"/>
    <w:rsid w:val="13FF2E83"/>
    <w:rsid w:val="14005403"/>
    <w:rsid w:val="140300D1"/>
    <w:rsid w:val="141C1A37"/>
    <w:rsid w:val="141C2EE7"/>
    <w:rsid w:val="142255E8"/>
    <w:rsid w:val="142C38AD"/>
    <w:rsid w:val="14363D29"/>
    <w:rsid w:val="143678DB"/>
    <w:rsid w:val="14506187"/>
    <w:rsid w:val="145449A3"/>
    <w:rsid w:val="1474522A"/>
    <w:rsid w:val="14855B1C"/>
    <w:rsid w:val="148F7411"/>
    <w:rsid w:val="14A45533"/>
    <w:rsid w:val="14AD5F48"/>
    <w:rsid w:val="14AE35FC"/>
    <w:rsid w:val="14B90961"/>
    <w:rsid w:val="14D601A3"/>
    <w:rsid w:val="14E44113"/>
    <w:rsid w:val="14EA55B7"/>
    <w:rsid w:val="150E4907"/>
    <w:rsid w:val="151F751C"/>
    <w:rsid w:val="153D235D"/>
    <w:rsid w:val="154821B7"/>
    <w:rsid w:val="154A1648"/>
    <w:rsid w:val="154E25E9"/>
    <w:rsid w:val="155810A4"/>
    <w:rsid w:val="155C65AE"/>
    <w:rsid w:val="156A61CE"/>
    <w:rsid w:val="156F3E1F"/>
    <w:rsid w:val="156F44D4"/>
    <w:rsid w:val="15715B51"/>
    <w:rsid w:val="1574744F"/>
    <w:rsid w:val="15823994"/>
    <w:rsid w:val="159260CF"/>
    <w:rsid w:val="15947046"/>
    <w:rsid w:val="15951987"/>
    <w:rsid w:val="15A047CB"/>
    <w:rsid w:val="15A0619E"/>
    <w:rsid w:val="15B2292B"/>
    <w:rsid w:val="15B72752"/>
    <w:rsid w:val="15BA166F"/>
    <w:rsid w:val="15BD418E"/>
    <w:rsid w:val="15C72685"/>
    <w:rsid w:val="15C828CD"/>
    <w:rsid w:val="15CB3F81"/>
    <w:rsid w:val="15EB2AA9"/>
    <w:rsid w:val="15F4371E"/>
    <w:rsid w:val="15F85AA9"/>
    <w:rsid w:val="15FD7743"/>
    <w:rsid w:val="160F2C35"/>
    <w:rsid w:val="161C2166"/>
    <w:rsid w:val="16203964"/>
    <w:rsid w:val="162810CA"/>
    <w:rsid w:val="16314D23"/>
    <w:rsid w:val="164F3FB1"/>
    <w:rsid w:val="16542691"/>
    <w:rsid w:val="16545026"/>
    <w:rsid w:val="165663D1"/>
    <w:rsid w:val="16585FCB"/>
    <w:rsid w:val="16620331"/>
    <w:rsid w:val="16657E45"/>
    <w:rsid w:val="166B5FF5"/>
    <w:rsid w:val="16704C85"/>
    <w:rsid w:val="16744071"/>
    <w:rsid w:val="167C5BDC"/>
    <w:rsid w:val="1680645E"/>
    <w:rsid w:val="168821FC"/>
    <w:rsid w:val="168F585F"/>
    <w:rsid w:val="169612D1"/>
    <w:rsid w:val="16A137C5"/>
    <w:rsid w:val="16A21F5B"/>
    <w:rsid w:val="16BE1D19"/>
    <w:rsid w:val="16C00555"/>
    <w:rsid w:val="16CA1D2B"/>
    <w:rsid w:val="16DD0C31"/>
    <w:rsid w:val="16DF2B07"/>
    <w:rsid w:val="16E7282C"/>
    <w:rsid w:val="16FE3110"/>
    <w:rsid w:val="17026F10"/>
    <w:rsid w:val="170A3FAB"/>
    <w:rsid w:val="17275E00"/>
    <w:rsid w:val="173426EA"/>
    <w:rsid w:val="17380DC9"/>
    <w:rsid w:val="173E4C52"/>
    <w:rsid w:val="17432E41"/>
    <w:rsid w:val="17482606"/>
    <w:rsid w:val="174B3A7D"/>
    <w:rsid w:val="175454DC"/>
    <w:rsid w:val="17636FAF"/>
    <w:rsid w:val="17702879"/>
    <w:rsid w:val="177761B3"/>
    <w:rsid w:val="178424FA"/>
    <w:rsid w:val="178D2C84"/>
    <w:rsid w:val="178D7F71"/>
    <w:rsid w:val="179E7495"/>
    <w:rsid w:val="17A026E1"/>
    <w:rsid w:val="17AB2B97"/>
    <w:rsid w:val="17C66C3A"/>
    <w:rsid w:val="17CC5ECE"/>
    <w:rsid w:val="17CE580D"/>
    <w:rsid w:val="17D83819"/>
    <w:rsid w:val="17F60521"/>
    <w:rsid w:val="17FF4999"/>
    <w:rsid w:val="1800134D"/>
    <w:rsid w:val="180C023B"/>
    <w:rsid w:val="18170776"/>
    <w:rsid w:val="18226EE6"/>
    <w:rsid w:val="182B4F94"/>
    <w:rsid w:val="18366840"/>
    <w:rsid w:val="18372538"/>
    <w:rsid w:val="18474F16"/>
    <w:rsid w:val="18500692"/>
    <w:rsid w:val="18535C42"/>
    <w:rsid w:val="18641C3D"/>
    <w:rsid w:val="1867487B"/>
    <w:rsid w:val="18695C89"/>
    <w:rsid w:val="18700C08"/>
    <w:rsid w:val="18764199"/>
    <w:rsid w:val="18786E06"/>
    <w:rsid w:val="1885335D"/>
    <w:rsid w:val="18870497"/>
    <w:rsid w:val="188726D4"/>
    <w:rsid w:val="189B7E34"/>
    <w:rsid w:val="189C51CA"/>
    <w:rsid w:val="189C5A97"/>
    <w:rsid w:val="18A459CA"/>
    <w:rsid w:val="18A66233"/>
    <w:rsid w:val="18B22B5C"/>
    <w:rsid w:val="18B32649"/>
    <w:rsid w:val="18B84CB0"/>
    <w:rsid w:val="18C605BC"/>
    <w:rsid w:val="18DE1AEB"/>
    <w:rsid w:val="18E37D51"/>
    <w:rsid w:val="18E41E18"/>
    <w:rsid w:val="18ED2210"/>
    <w:rsid w:val="18F33F2C"/>
    <w:rsid w:val="18F56338"/>
    <w:rsid w:val="18FC34F8"/>
    <w:rsid w:val="19090872"/>
    <w:rsid w:val="190C0ABD"/>
    <w:rsid w:val="19200A35"/>
    <w:rsid w:val="192141D8"/>
    <w:rsid w:val="19222C9D"/>
    <w:rsid w:val="19306452"/>
    <w:rsid w:val="19352F90"/>
    <w:rsid w:val="194452C6"/>
    <w:rsid w:val="19447EB2"/>
    <w:rsid w:val="19471E13"/>
    <w:rsid w:val="194E56C4"/>
    <w:rsid w:val="19684F1E"/>
    <w:rsid w:val="19B00ED9"/>
    <w:rsid w:val="19B56E5D"/>
    <w:rsid w:val="19B93C2B"/>
    <w:rsid w:val="19BD310F"/>
    <w:rsid w:val="19CB397F"/>
    <w:rsid w:val="19D74D72"/>
    <w:rsid w:val="19D9306B"/>
    <w:rsid w:val="19EA15B3"/>
    <w:rsid w:val="19F5126C"/>
    <w:rsid w:val="19FA1601"/>
    <w:rsid w:val="19FC4936"/>
    <w:rsid w:val="1A112EAE"/>
    <w:rsid w:val="1A1D6630"/>
    <w:rsid w:val="1A3641BA"/>
    <w:rsid w:val="1A4848F2"/>
    <w:rsid w:val="1A4B7D0E"/>
    <w:rsid w:val="1A4F26CC"/>
    <w:rsid w:val="1A552131"/>
    <w:rsid w:val="1A573AB7"/>
    <w:rsid w:val="1A7702EA"/>
    <w:rsid w:val="1A7C32FF"/>
    <w:rsid w:val="1A7C3F77"/>
    <w:rsid w:val="1A80010B"/>
    <w:rsid w:val="1A841DE8"/>
    <w:rsid w:val="1A91794A"/>
    <w:rsid w:val="1A9E713F"/>
    <w:rsid w:val="1AA1145C"/>
    <w:rsid w:val="1AAD30FA"/>
    <w:rsid w:val="1AAE16C4"/>
    <w:rsid w:val="1AAE520B"/>
    <w:rsid w:val="1AB13940"/>
    <w:rsid w:val="1ABA705B"/>
    <w:rsid w:val="1AC97242"/>
    <w:rsid w:val="1ACC76E0"/>
    <w:rsid w:val="1ACF27B9"/>
    <w:rsid w:val="1AD27A8D"/>
    <w:rsid w:val="1AD41D2D"/>
    <w:rsid w:val="1AD7515E"/>
    <w:rsid w:val="1AD8130A"/>
    <w:rsid w:val="1AE93C9B"/>
    <w:rsid w:val="1AF21DA7"/>
    <w:rsid w:val="1AFD5642"/>
    <w:rsid w:val="1B097FBA"/>
    <w:rsid w:val="1B2542E6"/>
    <w:rsid w:val="1B2929AB"/>
    <w:rsid w:val="1B2C3E91"/>
    <w:rsid w:val="1B47772F"/>
    <w:rsid w:val="1B50538E"/>
    <w:rsid w:val="1B5322E9"/>
    <w:rsid w:val="1B607248"/>
    <w:rsid w:val="1B612AFA"/>
    <w:rsid w:val="1B693EA3"/>
    <w:rsid w:val="1B6B1131"/>
    <w:rsid w:val="1B6C25E8"/>
    <w:rsid w:val="1B741476"/>
    <w:rsid w:val="1B793426"/>
    <w:rsid w:val="1B801536"/>
    <w:rsid w:val="1B8260BC"/>
    <w:rsid w:val="1B8A2061"/>
    <w:rsid w:val="1B8C3320"/>
    <w:rsid w:val="1B957FCF"/>
    <w:rsid w:val="1BAA2BCF"/>
    <w:rsid w:val="1BD925D2"/>
    <w:rsid w:val="1BFA0C60"/>
    <w:rsid w:val="1C076C7C"/>
    <w:rsid w:val="1C161A83"/>
    <w:rsid w:val="1C1C4D13"/>
    <w:rsid w:val="1C296C3D"/>
    <w:rsid w:val="1C325787"/>
    <w:rsid w:val="1C3A709B"/>
    <w:rsid w:val="1C512779"/>
    <w:rsid w:val="1C5B2253"/>
    <w:rsid w:val="1C6575F7"/>
    <w:rsid w:val="1C712D2E"/>
    <w:rsid w:val="1C762823"/>
    <w:rsid w:val="1C7802BE"/>
    <w:rsid w:val="1C7F7184"/>
    <w:rsid w:val="1C804FFC"/>
    <w:rsid w:val="1C811EBE"/>
    <w:rsid w:val="1C8D3996"/>
    <w:rsid w:val="1C9C1BE4"/>
    <w:rsid w:val="1CA0266C"/>
    <w:rsid w:val="1CAD3858"/>
    <w:rsid w:val="1CAF18A4"/>
    <w:rsid w:val="1CBA342B"/>
    <w:rsid w:val="1CC04946"/>
    <w:rsid w:val="1CC400CD"/>
    <w:rsid w:val="1CC57789"/>
    <w:rsid w:val="1CCA7433"/>
    <w:rsid w:val="1CCE5780"/>
    <w:rsid w:val="1CCE78A2"/>
    <w:rsid w:val="1CD75D57"/>
    <w:rsid w:val="1CDC087A"/>
    <w:rsid w:val="1CE922E4"/>
    <w:rsid w:val="1CFB474C"/>
    <w:rsid w:val="1D052D81"/>
    <w:rsid w:val="1D110690"/>
    <w:rsid w:val="1D111ED4"/>
    <w:rsid w:val="1D1E5C67"/>
    <w:rsid w:val="1D2C43C8"/>
    <w:rsid w:val="1D335855"/>
    <w:rsid w:val="1D3507AD"/>
    <w:rsid w:val="1D3F4F0A"/>
    <w:rsid w:val="1D522E11"/>
    <w:rsid w:val="1D5C55A7"/>
    <w:rsid w:val="1D6747F5"/>
    <w:rsid w:val="1D702483"/>
    <w:rsid w:val="1D7B7BDF"/>
    <w:rsid w:val="1D7C0AC5"/>
    <w:rsid w:val="1D7E024C"/>
    <w:rsid w:val="1D812F92"/>
    <w:rsid w:val="1D850034"/>
    <w:rsid w:val="1D8B6EC0"/>
    <w:rsid w:val="1DA70EBB"/>
    <w:rsid w:val="1DAF2B60"/>
    <w:rsid w:val="1DAF4844"/>
    <w:rsid w:val="1DB15797"/>
    <w:rsid w:val="1DC43BC4"/>
    <w:rsid w:val="1DCC34E5"/>
    <w:rsid w:val="1DCF2EDB"/>
    <w:rsid w:val="1DDE47B5"/>
    <w:rsid w:val="1DE56A6A"/>
    <w:rsid w:val="1DFD5D66"/>
    <w:rsid w:val="1E1C0F23"/>
    <w:rsid w:val="1E1D3350"/>
    <w:rsid w:val="1E2D3856"/>
    <w:rsid w:val="1E2E6394"/>
    <w:rsid w:val="1E3C2C1F"/>
    <w:rsid w:val="1E493A73"/>
    <w:rsid w:val="1E4C7C99"/>
    <w:rsid w:val="1E6E29BC"/>
    <w:rsid w:val="1E721FE6"/>
    <w:rsid w:val="1E842EE0"/>
    <w:rsid w:val="1EA5131C"/>
    <w:rsid w:val="1EAC0652"/>
    <w:rsid w:val="1EC012AB"/>
    <w:rsid w:val="1EC33879"/>
    <w:rsid w:val="1EC97015"/>
    <w:rsid w:val="1ECC4525"/>
    <w:rsid w:val="1ED25FFE"/>
    <w:rsid w:val="1EDD24BC"/>
    <w:rsid w:val="1EE16ED9"/>
    <w:rsid w:val="1EEA0C85"/>
    <w:rsid w:val="1F021AFD"/>
    <w:rsid w:val="1F1E5DB2"/>
    <w:rsid w:val="1F293665"/>
    <w:rsid w:val="1F2D7AB7"/>
    <w:rsid w:val="1F31093A"/>
    <w:rsid w:val="1F3C203A"/>
    <w:rsid w:val="1F4154A3"/>
    <w:rsid w:val="1F495793"/>
    <w:rsid w:val="1F4F31D2"/>
    <w:rsid w:val="1F8B4035"/>
    <w:rsid w:val="1F8E5C30"/>
    <w:rsid w:val="1F8F3B44"/>
    <w:rsid w:val="1FA042BC"/>
    <w:rsid w:val="1FAD75BF"/>
    <w:rsid w:val="1FB468E3"/>
    <w:rsid w:val="1FB87C4A"/>
    <w:rsid w:val="1FDE1119"/>
    <w:rsid w:val="1FDE5CF0"/>
    <w:rsid w:val="1FF63782"/>
    <w:rsid w:val="20055D8E"/>
    <w:rsid w:val="2010595F"/>
    <w:rsid w:val="202D186D"/>
    <w:rsid w:val="20444A13"/>
    <w:rsid w:val="204A3E68"/>
    <w:rsid w:val="204E2B4B"/>
    <w:rsid w:val="204F627F"/>
    <w:rsid w:val="20577738"/>
    <w:rsid w:val="205B6F25"/>
    <w:rsid w:val="206E2E6F"/>
    <w:rsid w:val="207E43F1"/>
    <w:rsid w:val="20867893"/>
    <w:rsid w:val="209F40C4"/>
    <w:rsid w:val="20A523F4"/>
    <w:rsid w:val="20A61892"/>
    <w:rsid w:val="20AF6C77"/>
    <w:rsid w:val="20C12912"/>
    <w:rsid w:val="20C65458"/>
    <w:rsid w:val="20D35DF3"/>
    <w:rsid w:val="20D95613"/>
    <w:rsid w:val="20DB6833"/>
    <w:rsid w:val="20F30681"/>
    <w:rsid w:val="20F8066D"/>
    <w:rsid w:val="20FA1C1F"/>
    <w:rsid w:val="20FC1399"/>
    <w:rsid w:val="21084BF5"/>
    <w:rsid w:val="21090BEB"/>
    <w:rsid w:val="2112563D"/>
    <w:rsid w:val="21133D9A"/>
    <w:rsid w:val="211E5843"/>
    <w:rsid w:val="212028A2"/>
    <w:rsid w:val="21236E7B"/>
    <w:rsid w:val="212D6E70"/>
    <w:rsid w:val="21325170"/>
    <w:rsid w:val="21383079"/>
    <w:rsid w:val="213C4E2F"/>
    <w:rsid w:val="213D0E8C"/>
    <w:rsid w:val="2140662B"/>
    <w:rsid w:val="214B63F8"/>
    <w:rsid w:val="214C3CD5"/>
    <w:rsid w:val="215A2AFE"/>
    <w:rsid w:val="215F458F"/>
    <w:rsid w:val="21711085"/>
    <w:rsid w:val="217228C9"/>
    <w:rsid w:val="218E0201"/>
    <w:rsid w:val="21926F6C"/>
    <w:rsid w:val="21936236"/>
    <w:rsid w:val="219B0652"/>
    <w:rsid w:val="219E589F"/>
    <w:rsid w:val="21A71340"/>
    <w:rsid w:val="21AE7BDE"/>
    <w:rsid w:val="21B13AA1"/>
    <w:rsid w:val="21B24080"/>
    <w:rsid w:val="21BF67E6"/>
    <w:rsid w:val="21C051BE"/>
    <w:rsid w:val="21C268DE"/>
    <w:rsid w:val="21C44697"/>
    <w:rsid w:val="21D061B3"/>
    <w:rsid w:val="21D24CF4"/>
    <w:rsid w:val="21DE47CF"/>
    <w:rsid w:val="21FA7C76"/>
    <w:rsid w:val="21FB378E"/>
    <w:rsid w:val="22086DD5"/>
    <w:rsid w:val="220D602F"/>
    <w:rsid w:val="221122B7"/>
    <w:rsid w:val="221335D5"/>
    <w:rsid w:val="221803B8"/>
    <w:rsid w:val="223332AD"/>
    <w:rsid w:val="223F2906"/>
    <w:rsid w:val="22460F19"/>
    <w:rsid w:val="226F2366"/>
    <w:rsid w:val="227167CA"/>
    <w:rsid w:val="22727FD0"/>
    <w:rsid w:val="227B0B71"/>
    <w:rsid w:val="22805B8B"/>
    <w:rsid w:val="228135D1"/>
    <w:rsid w:val="2281465F"/>
    <w:rsid w:val="22A13519"/>
    <w:rsid w:val="22B23E9D"/>
    <w:rsid w:val="22C54E5E"/>
    <w:rsid w:val="22C84261"/>
    <w:rsid w:val="22CA6D56"/>
    <w:rsid w:val="22CD373A"/>
    <w:rsid w:val="22CD57C2"/>
    <w:rsid w:val="22CE6C8E"/>
    <w:rsid w:val="22D45893"/>
    <w:rsid w:val="22F94667"/>
    <w:rsid w:val="22FC1280"/>
    <w:rsid w:val="23001A71"/>
    <w:rsid w:val="23050ED0"/>
    <w:rsid w:val="23057C2E"/>
    <w:rsid w:val="230A06F1"/>
    <w:rsid w:val="231405B8"/>
    <w:rsid w:val="231C0D19"/>
    <w:rsid w:val="2335341D"/>
    <w:rsid w:val="233B6DCC"/>
    <w:rsid w:val="233F2E83"/>
    <w:rsid w:val="234B4184"/>
    <w:rsid w:val="234F6DA9"/>
    <w:rsid w:val="234F75EF"/>
    <w:rsid w:val="23506762"/>
    <w:rsid w:val="23557637"/>
    <w:rsid w:val="236647E7"/>
    <w:rsid w:val="23666256"/>
    <w:rsid w:val="23691369"/>
    <w:rsid w:val="236E3562"/>
    <w:rsid w:val="23722CB0"/>
    <w:rsid w:val="238C2CA1"/>
    <w:rsid w:val="238E7B6A"/>
    <w:rsid w:val="238F69CD"/>
    <w:rsid w:val="2397196E"/>
    <w:rsid w:val="23AC7988"/>
    <w:rsid w:val="23B2329F"/>
    <w:rsid w:val="23C13227"/>
    <w:rsid w:val="23C30FC1"/>
    <w:rsid w:val="23CD6CFC"/>
    <w:rsid w:val="23CE6D8D"/>
    <w:rsid w:val="23CE7EFA"/>
    <w:rsid w:val="23D876C6"/>
    <w:rsid w:val="23DB66E2"/>
    <w:rsid w:val="23DD1DFA"/>
    <w:rsid w:val="23EB5CB5"/>
    <w:rsid w:val="23F00831"/>
    <w:rsid w:val="23FF6960"/>
    <w:rsid w:val="24044AAD"/>
    <w:rsid w:val="24244378"/>
    <w:rsid w:val="2429376D"/>
    <w:rsid w:val="243B73AD"/>
    <w:rsid w:val="244C76D3"/>
    <w:rsid w:val="245437FC"/>
    <w:rsid w:val="245A673B"/>
    <w:rsid w:val="245D7497"/>
    <w:rsid w:val="24601C34"/>
    <w:rsid w:val="2473264B"/>
    <w:rsid w:val="24915BAB"/>
    <w:rsid w:val="24992C3F"/>
    <w:rsid w:val="249E445B"/>
    <w:rsid w:val="249F5284"/>
    <w:rsid w:val="249F57D9"/>
    <w:rsid w:val="24A46A37"/>
    <w:rsid w:val="24AF0F0C"/>
    <w:rsid w:val="24CE18C8"/>
    <w:rsid w:val="24DB7584"/>
    <w:rsid w:val="24DC690A"/>
    <w:rsid w:val="24DF68C8"/>
    <w:rsid w:val="24E113F5"/>
    <w:rsid w:val="24E70DDF"/>
    <w:rsid w:val="24FD0496"/>
    <w:rsid w:val="25005C72"/>
    <w:rsid w:val="25072CB6"/>
    <w:rsid w:val="250F3ABA"/>
    <w:rsid w:val="25150E4A"/>
    <w:rsid w:val="25214F60"/>
    <w:rsid w:val="252F2220"/>
    <w:rsid w:val="254816C3"/>
    <w:rsid w:val="254A0730"/>
    <w:rsid w:val="255F10C9"/>
    <w:rsid w:val="25603261"/>
    <w:rsid w:val="2571416C"/>
    <w:rsid w:val="25752C02"/>
    <w:rsid w:val="25820624"/>
    <w:rsid w:val="25861D75"/>
    <w:rsid w:val="258C3B72"/>
    <w:rsid w:val="258D381B"/>
    <w:rsid w:val="258D6CA4"/>
    <w:rsid w:val="258F4D88"/>
    <w:rsid w:val="259C6706"/>
    <w:rsid w:val="25A537C9"/>
    <w:rsid w:val="25A937E3"/>
    <w:rsid w:val="25A97B32"/>
    <w:rsid w:val="25AE239D"/>
    <w:rsid w:val="25B35FA5"/>
    <w:rsid w:val="25B564E3"/>
    <w:rsid w:val="25CE0B3E"/>
    <w:rsid w:val="25CF30BA"/>
    <w:rsid w:val="25D87AE6"/>
    <w:rsid w:val="25DE04AA"/>
    <w:rsid w:val="25E71F78"/>
    <w:rsid w:val="25EA75FB"/>
    <w:rsid w:val="25EB1A7A"/>
    <w:rsid w:val="26033C65"/>
    <w:rsid w:val="260715B5"/>
    <w:rsid w:val="26081BF8"/>
    <w:rsid w:val="260C58C5"/>
    <w:rsid w:val="26103B59"/>
    <w:rsid w:val="261F28E2"/>
    <w:rsid w:val="26264554"/>
    <w:rsid w:val="263235F5"/>
    <w:rsid w:val="26333A29"/>
    <w:rsid w:val="2634286A"/>
    <w:rsid w:val="26351784"/>
    <w:rsid w:val="26392AAE"/>
    <w:rsid w:val="26427A28"/>
    <w:rsid w:val="26463F9A"/>
    <w:rsid w:val="264A5177"/>
    <w:rsid w:val="26525ABF"/>
    <w:rsid w:val="26574E2B"/>
    <w:rsid w:val="265826A7"/>
    <w:rsid w:val="266C527A"/>
    <w:rsid w:val="267056BF"/>
    <w:rsid w:val="2682002D"/>
    <w:rsid w:val="268426E2"/>
    <w:rsid w:val="26871BB0"/>
    <w:rsid w:val="2689072D"/>
    <w:rsid w:val="268D61F7"/>
    <w:rsid w:val="26915CA2"/>
    <w:rsid w:val="26BF485A"/>
    <w:rsid w:val="26E32255"/>
    <w:rsid w:val="26EA75CE"/>
    <w:rsid w:val="26EC6E10"/>
    <w:rsid w:val="26EF32CA"/>
    <w:rsid w:val="26F11DDD"/>
    <w:rsid w:val="26F37CBE"/>
    <w:rsid w:val="26F954F1"/>
    <w:rsid w:val="27107BF5"/>
    <w:rsid w:val="27326E8F"/>
    <w:rsid w:val="2735468D"/>
    <w:rsid w:val="27383A83"/>
    <w:rsid w:val="274A6662"/>
    <w:rsid w:val="27570A55"/>
    <w:rsid w:val="275C2CB3"/>
    <w:rsid w:val="276A0443"/>
    <w:rsid w:val="276C1027"/>
    <w:rsid w:val="277328A2"/>
    <w:rsid w:val="27746913"/>
    <w:rsid w:val="2775446F"/>
    <w:rsid w:val="278B2D28"/>
    <w:rsid w:val="279039B2"/>
    <w:rsid w:val="27947308"/>
    <w:rsid w:val="2796033D"/>
    <w:rsid w:val="279C31E5"/>
    <w:rsid w:val="27B60AFD"/>
    <w:rsid w:val="27B914E9"/>
    <w:rsid w:val="27C42D71"/>
    <w:rsid w:val="27C435E3"/>
    <w:rsid w:val="27CD2E52"/>
    <w:rsid w:val="27D47C66"/>
    <w:rsid w:val="27E951EF"/>
    <w:rsid w:val="27EF2A5E"/>
    <w:rsid w:val="27F2325D"/>
    <w:rsid w:val="27F97D3B"/>
    <w:rsid w:val="28014AB4"/>
    <w:rsid w:val="28043BB2"/>
    <w:rsid w:val="28065FAE"/>
    <w:rsid w:val="280B5681"/>
    <w:rsid w:val="280D46CF"/>
    <w:rsid w:val="281C31AC"/>
    <w:rsid w:val="28246110"/>
    <w:rsid w:val="28285D3D"/>
    <w:rsid w:val="282865B0"/>
    <w:rsid w:val="28377CB6"/>
    <w:rsid w:val="28420645"/>
    <w:rsid w:val="284566E9"/>
    <w:rsid w:val="285577BE"/>
    <w:rsid w:val="285C5977"/>
    <w:rsid w:val="28722B16"/>
    <w:rsid w:val="287954D2"/>
    <w:rsid w:val="287E15AA"/>
    <w:rsid w:val="288D4F6F"/>
    <w:rsid w:val="289C0555"/>
    <w:rsid w:val="28AD4406"/>
    <w:rsid w:val="28BB2CA0"/>
    <w:rsid w:val="28BC2993"/>
    <w:rsid w:val="28C36B12"/>
    <w:rsid w:val="28C6288E"/>
    <w:rsid w:val="28CB7B04"/>
    <w:rsid w:val="28CC10A4"/>
    <w:rsid w:val="28D34355"/>
    <w:rsid w:val="28E2106E"/>
    <w:rsid w:val="28E95483"/>
    <w:rsid w:val="28EB4FE6"/>
    <w:rsid w:val="28EE4F7F"/>
    <w:rsid w:val="28F257BC"/>
    <w:rsid w:val="28F50C58"/>
    <w:rsid w:val="28F62E85"/>
    <w:rsid w:val="28FA532D"/>
    <w:rsid w:val="28FA7BD2"/>
    <w:rsid w:val="29060891"/>
    <w:rsid w:val="290A7357"/>
    <w:rsid w:val="290F2E23"/>
    <w:rsid w:val="29116346"/>
    <w:rsid w:val="29160C81"/>
    <w:rsid w:val="291B361A"/>
    <w:rsid w:val="29232AF9"/>
    <w:rsid w:val="2925011C"/>
    <w:rsid w:val="29291D27"/>
    <w:rsid w:val="29334E58"/>
    <w:rsid w:val="29342C80"/>
    <w:rsid w:val="293F4FBE"/>
    <w:rsid w:val="294D1445"/>
    <w:rsid w:val="296D72E7"/>
    <w:rsid w:val="29776B33"/>
    <w:rsid w:val="297C4F1B"/>
    <w:rsid w:val="29821EF7"/>
    <w:rsid w:val="29841FF1"/>
    <w:rsid w:val="299159E7"/>
    <w:rsid w:val="29BD1A42"/>
    <w:rsid w:val="29C562CC"/>
    <w:rsid w:val="29C90D98"/>
    <w:rsid w:val="29DB2A84"/>
    <w:rsid w:val="29E522F6"/>
    <w:rsid w:val="29F500B0"/>
    <w:rsid w:val="29F50DAE"/>
    <w:rsid w:val="29F8715D"/>
    <w:rsid w:val="2A030B0B"/>
    <w:rsid w:val="2A0857F5"/>
    <w:rsid w:val="2A0C1ECE"/>
    <w:rsid w:val="2A0D2B92"/>
    <w:rsid w:val="2A32766A"/>
    <w:rsid w:val="2A363620"/>
    <w:rsid w:val="2A3B1576"/>
    <w:rsid w:val="2A4006A0"/>
    <w:rsid w:val="2A404777"/>
    <w:rsid w:val="2A5335B8"/>
    <w:rsid w:val="2A5E6472"/>
    <w:rsid w:val="2A6162EF"/>
    <w:rsid w:val="2A664904"/>
    <w:rsid w:val="2A6B5774"/>
    <w:rsid w:val="2A6C0C25"/>
    <w:rsid w:val="2A6C7032"/>
    <w:rsid w:val="2A712586"/>
    <w:rsid w:val="2A750383"/>
    <w:rsid w:val="2A7504B4"/>
    <w:rsid w:val="2A750734"/>
    <w:rsid w:val="2A750FDD"/>
    <w:rsid w:val="2A75687F"/>
    <w:rsid w:val="2A772195"/>
    <w:rsid w:val="2A7752BC"/>
    <w:rsid w:val="2A7A4706"/>
    <w:rsid w:val="2A8347FB"/>
    <w:rsid w:val="2A865A2F"/>
    <w:rsid w:val="2A907E32"/>
    <w:rsid w:val="2A982070"/>
    <w:rsid w:val="2A99550C"/>
    <w:rsid w:val="2A9B0C18"/>
    <w:rsid w:val="2A9B7B0C"/>
    <w:rsid w:val="2AA16B48"/>
    <w:rsid w:val="2AA71A15"/>
    <w:rsid w:val="2AAB20D4"/>
    <w:rsid w:val="2AB072BA"/>
    <w:rsid w:val="2ABC14DB"/>
    <w:rsid w:val="2ABE3874"/>
    <w:rsid w:val="2ACA1D12"/>
    <w:rsid w:val="2AD56F26"/>
    <w:rsid w:val="2AF5473E"/>
    <w:rsid w:val="2AFE3B79"/>
    <w:rsid w:val="2B03259E"/>
    <w:rsid w:val="2B034049"/>
    <w:rsid w:val="2B056B48"/>
    <w:rsid w:val="2B155F4A"/>
    <w:rsid w:val="2B181DBF"/>
    <w:rsid w:val="2B1A0D71"/>
    <w:rsid w:val="2B242CD3"/>
    <w:rsid w:val="2B2A271C"/>
    <w:rsid w:val="2B2C43D0"/>
    <w:rsid w:val="2B325D8C"/>
    <w:rsid w:val="2B3541C6"/>
    <w:rsid w:val="2B397288"/>
    <w:rsid w:val="2B3F3060"/>
    <w:rsid w:val="2B4F35EF"/>
    <w:rsid w:val="2B5329A1"/>
    <w:rsid w:val="2B551969"/>
    <w:rsid w:val="2B5A2267"/>
    <w:rsid w:val="2B707986"/>
    <w:rsid w:val="2B731A25"/>
    <w:rsid w:val="2B8A5BE5"/>
    <w:rsid w:val="2B8B12B1"/>
    <w:rsid w:val="2B930EF1"/>
    <w:rsid w:val="2BA25574"/>
    <w:rsid w:val="2BA323A5"/>
    <w:rsid w:val="2BA40613"/>
    <w:rsid w:val="2BA568A1"/>
    <w:rsid w:val="2BA86189"/>
    <w:rsid w:val="2BAE7AC1"/>
    <w:rsid w:val="2BB6470A"/>
    <w:rsid w:val="2BBF1E23"/>
    <w:rsid w:val="2BDB5364"/>
    <w:rsid w:val="2BEF171D"/>
    <w:rsid w:val="2BFE1E7E"/>
    <w:rsid w:val="2BFF34F5"/>
    <w:rsid w:val="2C013F39"/>
    <w:rsid w:val="2C0B1078"/>
    <w:rsid w:val="2C232156"/>
    <w:rsid w:val="2C253560"/>
    <w:rsid w:val="2C295909"/>
    <w:rsid w:val="2C334998"/>
    <w:rsid w:val="2C35122A"/>
    <w:rsid w:val="2C364299"/>
    <w:rsid w:val="2C486C9F"/>
    <w:rsid w:val="2C5437C3"/>
    <w:rsid w:val="2C594D81"/>
    <w:rsid w:val="2C5C42D2"/>
    <w:rsid w:val="2C620297"/>
    <w:rsid w:val="2C641512"/>
    <w:rsid w:val="2C6E5DD6"/>
    <w:rsid w:val="2C73035A"/>
    <w:rsid w:val="2C7E4A99"/>
    <w:rsid w:val="2C7E5F6C"/>
    <w:rsid w:val="2C831780"/>
    <w:rsid w:val="2C877559"/>
    <w:rsid w:val="2C9121B3"/>
    <w:rsid w:val="2C9C7397"/>
    <w:rsid w:val="2CA02C0D"/>
    <w:rsid w:val="2CA62C22"/>
    <w:rsid w:val="2CB141FE"/>
    <w:rsid w:val="2CB93C6B"/>
    <w:rsid w:val="2CBA29AB"/>
    <w:rsid w:val="2CBE4E27"/>
    <w:rsid w:val="2CC35504"/>
    <w:rsid w:val="2CDD2949"/>
    <w:rsid w:val="2CE04B66"/>
    <w:rsid w:val="2CEB511E"/>
    <w:rsid w:val="2CFA67BB"/>
    <w:rsid w:val="2D0519BA"/>
    <w:rsid w:val="2D116AA8"/>
    <w:rsid w:val="2D184915"/>
    <w:rsid w:val="2D2102D7"/>
    <w:rsid w:val="2D242913"/>
    <w:rsid w:val="2D290954"/>
    <w:rsid w:val="2D2A668F"/>
    <w:rsid w:val="2D2B21F4"/>
    <w:rsid w:val="2D381B6C"/>
    <w:rsid w:val="2D3A36E0"/>
    <w:rsid w:val="2D3D59F8"/>
    <w:rsid w:val="2D411DE4"/>
    <w:rsid w:val="2D447CCF"/>
    <w:rsid w:val="2D4D14E6"/>
    <w:rsid w:val="2D4E4D0B"/>
    <w:rsid w:val="2D5145BB"/>
    <w:rsid w:val="2D7322FD"/>
    <w:rsid w:val="2D7406B9"/>
    <w:rsid w:val="2D8E2EA1"/>
    <w:rsid w:val="2D8F27DB"/>
    <w:rsid w:val="2D927047"/>
    <w:rsid w:val="2D966719"/>
    <w:rsid w:val="2D97240F"/>
    <w:rsid w:val="2D9C0C2E"/>
    <w:rsid w:val="2D9E7AAD"/>
    <w:rsid w:val="2DA10413"/>
    <w:rsid w:val="2DB46007"/>
    <w:rsid w:val="2DC92410"/>
    <w:rsid w:val="2DCB4BB9"/>
    <w:rsid w:val="2DD70417"/>
    <w:rsid w:val="2DDB0F96"/>
    <w:rsid w:val="2DE35418"/>
    <w:rsid w:val="2E0D4E92"/>
    <w:rsid w:val="2E101687"/>
    <w:rsid w:val="2E126562"/>
    <w:rsid w:val="2E1B62A5"/>
    <w:rsid w:val="2E1D58DE"/>
    <w:rsid w:val="2E32124B"/>
    <w:rsid w:val="2E3931A6"/>
    <w:rsid w:val="2E3F01AF"/>
    <w:rsid w:val="2E4D43C9"/>
    <w:rsid w:val="2E5513C9"/>
    <w:rsid w:val="2E564CDD"/>
    <w:rsid w:val="2E575F25"/>
    <w:rsid w:val="2E581950"/>
    <w:rsid w:val="2E5865F6"/>
    <w:rsid w:val="2E664B44"/>
    <w:rsid w:val="2E6700E1"/>
    <w:rsid w:val="2E6E3AC1"/>
    <w:rsid w:val="2E806A22"/>
    <w:rsid w:val="2E8C2695"/>
    <w:rsid w:val="2E986EE0"/>
    <w:rsid w:val="2EA45ECC"/>
    <w:rsid w:val="2EA961CA"/>
    <w:rsid w:val="2EAC7A25"/>
    <w:rsid w:val="2EB11C1F"/>
    <w:rsid w:val="2EB86D2A"/>
    <w:rsid w:val="2EC81F77"/>
    <w:rsid w:val="2EDF3CED"/>
    <w:rsid w:val="2EF9378F"/>
    <w:rsid w:val="2F102D49"/>
    <w:rsid w:val="2F1544E7"/>
    <w:rsid w:val="2F223112"/>
    <w:rsid w:val="2F2832E3"/>
    <w:rsid w:val="2F2A028B"/>
    <w:rsid w:val="2F2E4CD3"/>
    <w:rsid w:val="2F3C1119"/>
    <w:rsid w:val="2F3F322C"/>
    <w:rsid w:val="2F4361BA"/>
    <w:rsid w:val="2F4773C1"/>
    <w:rsid w:val="2F570BF8"/>
    <w:rsid w:val="2F601512"/>
    <w:rsid w:val="2F644678"/>
    <w:rsid w:val="2F645E81"/>
    <w:rsid w:val="2F6A3BE3"/>
    <w:rsid w:val="2F7D414C"/>
    <w:rsid w:val="2F820752"/>
    <w:rsid w:val="2F8412FC"/>
    <w:rsid w:val="2F843CF0"/>
    <w:rsid w:val="2F8612D3"/>
    <w:rsid w:val="2F875D7B"/>
    <w:rsid w:val="2F8E5104"/>
    <w:rsid w:val="2F9251E4"/>
    <w:rsid w:val="2FA557A7"/>
    <w:rsid w:val="2FBD3859"/>
    <w:rsid w:val="2FC40827"/>
    <w:rsid w:val="2FCC6278"/>
    <w:rsid w:val="2FD3373E"/>
    <w:rsid w:val="2FE73242"/>
    <w:rsid w:val="2FEB512F"/>
    <w:rsid w:val="2FF06294"/>
    <w:rsid w:val="2FF13DD5"/>
    <w:rsid w:val="2FF66C8B"/>
    <w:rsid w:val="2FF9135A"/>
    <w:rsid w:val="300F6B5F"/>
    <w:rsid w:val="30121DB6"/>
    <w:rsid w:val="30194267"/>
    <w:rsid w:val="30265DB3"/>
    <w:rsid w:val="30281E1B"/>
    <w:rsid w:val="303D2A1B"/>
    <w:rsid w:val="303E2FFE"/>
    <w:rsid w:val="30423C79"/>
    <w:rsid w:val="306205C4"/>
    <w:rsid w:val="30657AE9"/>
    <w:rsid w:val="306A5BA8"/>
    <w:rsid w:val="30856D7B"/>
    <w:rsid w:val="308A183B"/>
    <w:rsid w:val="308E5FDF"/>
    <w:rsid w:val="30926D0D"/>
    <w:rsid w:val="309C6DDB"/>
    <w:rsid w:val="309E3F80"/>
    <w:rsid w:val="30B31F9C"/>
    <w:rsid w:val="30B456E9"/>
    <w:rsid w:val="30B5287E"/>
    <w:rsid w:val="30BC215E"/>
    <w:rsid w:val="30BE0B68"/>
    <w:rsid w:val="30F25E93"/>
    <w:rsid w:val="30F578C5"/>
    <w:rsid w:val="30F86718"/>
    <w:rsid w:val="31165C0D"/>
    <w:rsid w:val="31182199"/>
    <w:rsid w:val="31302D16"/>
    <w:rsid w:val="31392A46"/>
    <w:rsid w:val="313A0546"/>
    <w:rsid w:val="31470314"/>
    <w:rsid w:val="314C2760"/>
    <w:rsid w:val="316244B7"/>
    <w:rsid w:val="316F1595"/>
    <w:rsid w:val="31854918"/>
    <w:rsid w:val="31963578"/>
    <w:rsid w:val="31A32722"/>
    <w:rsid w:val="31A91D45"/>
    <w:rsid w:val="31AC7DF1"/>
    <w:rsid w:val="31AE5339"/>
    <w:rsid w:val="31BA0E10"/>
    <w:rsid w:val="31BB2CDB"/>
    <w:rsid w:val="31C44658"/>
    <w:rsid w:val="31CB1EC5"/>
    <w:rsid w:val="31CF2C3A"/>
    <w:rsid w:val="31D063CB"/>
    <w:rsid w:val="31D811C4"/>
    <w:rsid w:val="31D918C1"/>
    <w:rsid w:val="31DF7D59"/>
    <w:rsid w:val="31E352CF"/>
    <w:rsid w:val="31EC57C4"/>
    <w:rsid w:val="320E75A5"/>
    <w:rsid w:val="32186538"/>
    <w:rsid w:val="3221030E"/>
    <w:rsid w:val="32301C76"/>
    <w:rsid w:val="3237702B"/>
    <w:rsid w:val="32384218"/>
    <w:rsid w:val="324178A4"/>
    <w:rsid w:val="32450245"/>
    <w:rsid w:val="32494549"/>
    <w:rsid w:val="32545FC5"/>
    <w:rsid w:val="325C2D76"/>
    <w:rsid w:val="326507A6"/>
    <w:rsid w:val="32657B0E"/>
    <w:rsid w:val="326F13CB"/>
    <w:rsid w:val="326F5570"/>
    <w:rsid w:val="328B4355"/>
    <w:rsid w:val="32941EA4"/>
    <w:rsid w:val="32A17E90"/>
    <w:rsid w:val="32B366CE"/>
    <w:rsid w:val="32BB3603"/>
    <w:rsid w:val="32BE6424"/>
    <w:rsid w:val="32BF74CC"/>
    <w:rsid w:val="32C246E2"/>
    <w:rsid w:val="32C31C14"/>
    <w:rsid w:val="32C753E9"/>
    <w:rsid w:val="32CD393F"/>
    <w:rsid w:val="32CF3752"/>
    <w:rsid w:val="32DD7534"/>
    <w:rsid w:val="32F64C2C"/>
    <w:rsid w:val="32FD0FA8"/>
    <w:rsid w:val="33022768"/>
    <w:rsid w:val="3315683C"/>
    <w:rsid w:val="331B6EDE"/>
    <w:rsid w:val="33313D66"/>
    <w:rsid w:val="33352864"/>
    <w:rsid w:val="33385346"/>
    <w:rsid w:val="33397206"/>
    <w:rsid w:val="33451D77"/>
    <w:rsid w:val="33516568"/>
    <w:rsid w:val="33530865"/>
    <w:rsid w:val="33547F1F"/>
    <w:rsid w:val="337169E0"/>
    <w:rsid w:val="33796778"/>
    <w:rsid w:val="337F01D0"/>
    <w:rsid w:val="3397431E"/>
    <w:rsid w:val="33986BF1"/>
    <w:rsid w:val="33AD0C9D"/>
    <w:rsid w:val="33AE5FC0"/>
    <w:rsid w:val="33B51780"/>
    <w:rsid w:val="33BA6254"/>
    <w:rsid w:val="33C35F95"/>
    <w:rsid w:val="33CC7710"/>
    <w:rsid w:val="33D271EB"/>
    <w:rsid w:val="33E71937"/>
    <w:rsid w:val="33EC68D6"/>
    <w:rsid w:val="33F4710E"/>
    <w:rsid w:val="33FC6D82"/>
    <w:rsid w:val="33FE650E"/>
    <w:rsid w:val="34070CF8"/>
    <w:rsid w:val="34075BDC"/>
    <w:rsid w:val="340925AB"/>
    <w:rsid w:val="341E6F75"/>
    <w:rsid w:val="341E76A7"/>
    <w:rsid w:val="342245A0"/>
    <w:rsid w:val="34243808"/>
    <w:rsid w:val="34283065"/>
    <w:rsid w:val="34366609"/>
    <w:rsid w:val="343B5BC5"/>
    <w:rsid w:val="3441049C"/>
    <w:rsid w:val="34470C06"/>
    <w:rsid w:val="345D1DC0"/>
    <w:rsid w:val="345E2E34"/>
    <w:rsid w:val="346856A8"/>
    <w:rsid w:val="346B074E"/>
    <w:rsid w:val="34700B52"/>
    <w:rsid w:val="347C5431"/>
    <w:rsid w:val="347E76AC"/>
    <w:rsid w:val="34802039"/>
    <w:rsid w:val="34964B3F"/>
    <w:rsid w:val="34973B73"/>
    <w:rsid w:val="349D3745"/>
    <w:rsid w:val="34B058ED"/>
    <w:rsid w:val="34B2035B"/>
    <w:rsid w:val="34BE7BE9"/>
    <w:rsid w:val="34C861DE"/>
    <w:rsid w:val="34D24A6B"/>
    <w:rsid w:val="34DE386F"/>
    <w:rsid w:val="34E06A6B"/>
    <w:rsid w:val="34EA0F65"/>
    <w:rsid w:val="34EF6036"/>
    <w:rsid w:val="34F2011B"/>
    <w:rsid w:val="34F73B82"/>
    <w:rsid w:val="34F92C6F"/>
    <w:rsid w:val="35027E6B"/>
    <w:rsid w:val="350826B6"/>
    <w:rsid w:val="35151E73"/>
    <w:rsid w:val="351B5AFA"/>
    <w:rsid w:val="351D7160"/>
    <w:rsid w:val="351E408A"/>
    <w:rsid w:val="35436A96"/>
    <w:rsid w:val="3544100D"/>
    <w:rsid w:val="355015DA"/>
    <w:rsid w:val="35560A7E"/>
    <w:rsid w:val="35623A85"/>
    <w:rsid w:val="35666732"/>
    <w:rsid w:val="35683ADC"/>
    <w:rsid w:val="356A5601"/>
    <w:rsid w:val="358210F2"/>
    <w:rsid w:val="358A3815"/>
    <w:rsid w:val="358B13EB"/>
    <w:rsid w:val="359962FA"/>
    <w:rsid w:val="359F16E4"/>
    <w:rsid w:val="35A070D0"/>
    <w:rsid w:val="35A62EC1"/>
    <w:rsid w:val="35C606F5"/>
    <w:rsid w:val="35CB6289"/>
    <w:rsid w:val="35CE28FE"/>
    <w:rsid w:val="35D02FEC"/>
    <w:rsid w:val="35D63ACC"/>
    <w:rsid w:val="35ED18D3"/>
    <w:rsid w:val="35FA78A7"/>
    <w:rsid w:val="35FD2EFD"/>
    <w:rsid w:val="35FE075F"/>
    <w:rsid w:val="35FF6231"/>
    <w:rsid w:val="3606138A"/>
    <w:rsid w:val="360A1772"/>
    <w:rsid w:val="362929EA"/>
    <w:rsid w:val="36385E77"/>
    <w:rsid w:val="36513994"/>
    <w:rsid w:val="365341EB"/>
    <w:rsid w:val="365428F8"/>
    <w:rsid w:val="365430D0"/>
    <w:rsid w:val="365D088C"/>
    <w:rsid w:val="3663131A"/>
    <w:rsid w:val="366B0451"/>
    <w:rsid w:val="367935A4"/>
    <w:rsid w:val="3683705A"/>
    <w:rsid w:val="369251EB"/>
    <w:rsid w:val="36A20AB9"/>
    <w:rsid w:val="36BC1010"/>
    <w:rsid w:val="36CD1928"/>
    <w:rsid w:val="36DD19D5"/>
    <w:rsid w:val="36DF0DCF"/>
    <w:rsid w:val="36E71C00"/>
    <w:rsid w:val="36E86D31"/>
    <w:rsid w:val="36EE2CBB"/>
    <w:rsid w:val="37206A20"/>
    <w:rsid w:val="372C5FF1"/>
    <w:rsid w:val="372D0DBF"/>
    <w:rsid w:val="372F1B40"/>
    <w:rsid w:val="372F3FF9"/>
    <w:rsid w:val="373129EF"/>
    <w:rsid w:val="373621A3"/>
    <w:rsid w:val="373A3D76"/>
    <w:rsid w:val="374B3050"/>
    <w:rsid w:val="37512B30"/>
    <w:rsid w:val="3754377B"/>
    <w:rsid w:val="376755B7"/>
    <w:rsid w:val="376D73D3"/>
    <w:rsid w:val="37757E6F"/>
    <w:rsid w:val="377E113A"/>
    <w:rsid w:val="37873DC6"/>
    <w:rsid w:val="378C5DE8"/>
    <w:rsid w:val="379A365A"/>
    <w:rsid w:val="37A81832"/>
    <w:rsid w:val="37AD0E97"/>
    <w:rsid w:val="37B3284E"/>
    <w:rsid w:val="37B93020"/>
    <w:rsid w:val="37C75A14"/>
    <w:rsid w:val="37D51DFC"/>
    <w:rsid w:val="37FD7147"/>
    <w:rsid w:val="380F45AD"/>
    <w:rsid w:val="383579C1"/>
    <w:rsid w:val="38365636"/>
    <w:rsid w:val="3838242E"/>
    <w:rsid w:val="3842298F"/>
    <w:rsid w:val="384934A4"/>
    <w:rsid w:val="38562637"/>
    <w:rsid w:val="3858063B"/>
    <w:rsid w:val="385D34C1"/>
    <w:rsid w:val="386052AA"/>
    <w:rsid w:val="38630B60"/>
    <w:rsid w:val="386B0ED9"/>
    <w:rsid w:val="387409B9"/>
    <w:rsid w:val="387D29BE"/>
    <w:rsid w:val="38837E13"/>
    <w:rsid w:val="38862BA8"/>
    <w:rsid w:val="388C5F8D"/>
    <w:rsid w:val="38945C70"/>
    <w:rsid w:val="38A05A0D"/>
    <w:rsid w:val="38A34698"/>
    <w:rsid w:val="38A968C8"/>
    <w:rsid w:val="38AB19DA"/>
    <w:rsid w:val="38B96453"/>
    <w:rsid w:val="38C37207"/>
    <w:rsid w:val="38D27E22"/>
    <w:rsid w:val="38F05821"/>
    <w:rsid w:val="38F65986"/>
    <w:rsid w:val="39037914"/>
    <w:rsid w:val="390A3D17"/>
    <w:rsid w:val="39193BBB"/>
    <w:rsid w:val="39197EF7"/>
    <w:rsid w:val="39267A2B"/>
    <w:rsid w:val="393B6A45"/>
    <w:rsid w:val="3957061E"/>
    <w:rsid w:val="396A5805"/>
    <w:rsid w:val="397D09C0"/>
    <w:rsid w:val="39882EE2"/>
    <w:rsid w:val="39884C68"/>
    <w:rsid w:val="399476E9"/>
    <w:rsid w:val="39AA29DA"/>
    <w:rsid w:val="39B50F31"/>
    <w:rsid w:val="39C84667"/>
    <w:rsid w:val="39CA73AF"/>
    <w:rsid w:val="39DA71AF"/>
    <w:rsid w:val="39E530A4"/>
    <w:rsid w:val="39FF6602"/>
    <w:rsid w:val="3A033721"/>
    <w:rsid w:val="3A047EE6"/>
    <w:rsid w:val="3A0731EC"/>
    <w:rsid w:val="3A15267E"/>
    <w:rsid w:val="3A18263D"/>
    <w:rsid w:val="3A2549CE"/>
    <w:rsid w:val="3A323E9A"/>
    <w:rsid w:val="3A3302A9"/>
    <w:rsid w:val="3A366876"/>
    <w:rsid w:val="3A3A7E9A"/>
    <w:rsid w:val="3A3E0FBF"/>
    <w:rsid w:val="3A3F3E43"/>
    <w:rsid w:val="3A4379E7"/>
    <w:rsid w:val="3A5F0F0B"/>
    <w:rsid w:val="3A615F7B"/>
    <w:rsid w:val="3A650A0E"/>
    <w:rsid w:val="3A6662AD"/>
    <w:rsid w:val="3A6C210B"/>
    <w:rsid w:val="3A731164"/>
    <w:rsid w:val="3A7F3816"/>
    <w:rsid w:val="3A8075B8"/>
    <w:rsid w:val="3A845910"/>
    <w:rsid w:val="3A8D5643"/>
    <w:rsid w:val="3A986C86"/>
    <w:rsid w:val="3AB01047"/>
    <w:rsid w:val="3AB445DA"/>
    <w:rsid w:val="3AC40869"/>
    <w:rsid w:val="3AE93A93"/>
    <w:rsid w:val="3AEE64DE"/>
    <w:rsid w:val="3AFD3D21"/>
    <w:rsid w:val="3B06715E"/>
    <w:rsid w:val="3B0F1B0C"/>
    <w:rsid w:val="3B16341F"/>
    <w:rsid w:val="3B247D05"/>
    <w:rsid w:val="3B2D7969"/>
    <w:rsid w:val="3B472810"/>
    <w:rsid w:val="3B4F5659"/>
    <w:rsid w:val="3B587FC0"/>
    <w:rsid w:val="3B5C5E4F"/>
    <w:rsid w:val="3B686802"/>
    <w:rsid w:val="3B8A05C9"/>
    <w:rsid w:val="3B8B65A4"/>
    <w:rsid w:val="3B94771D"/>
    <w:rsid w:val="3B9C51AC"/>
    <w:rsid w:val="3BA86F0F"/>
    <w:rsid w:val="3BB26CEE"/>
    <w:rsid w:val="3BBE4E43"/>
    <w:rsid w:val="3BD473F8"/>
    <w:rsid w:val="3BDE71BE"/>
    <w:rsid w:val="3C0829E0"/>
    <w:rsid w:val="3C0B32C7"/>
    <w:rsid w:val="3C0B7D3C"/>
    <w:rsid w:val="3C123284"/>
    <w:rsid w:val="3C144C5E"/>
    <w:rsid w:val="3C145C57"/>
    <w:rsid w:val="3C217DAA"/>
    <w:rsid w:val="3C2B5922"/>
    <w:rsid w:val="3C302B64"/>
    <w:rsid w:val="3C351CCD"/>
    <w:rsid w:val="3C3B72F7"/>
    <w:rsid w:val="3C4D5202"/>
    <w:rsid w:val="3C536F45"/>
    <w:rsid w:val="3C5D698E"/>
    <w:rsid w:val="3C6A79D5"/>
    <w:rsid w:val="3C7617CA"/>
    <w:rsid w:val="3C881DE6"/>
    <w:rsid w:val="3C8B668C"/>
    <w:rsid w:val="3C9A3ED3"/>
    <w:rsid w:val="3C9D0189"/>
    <w:rsid w:val="3CA33452"/>
    <w:rsid w:val="3CB41F23"/>
    <w:rsid w:val="3CBB3335"/>
    <w:rsid w:val="3CC21E8B"/>
    <w:rsid w:val="3CC258D5"/>
    <w:rsid w:val="3CD30C12"/>
    <w:rsid w:val="3CDC1F42"/>
    <w:rsid w:val="3CF11106"/>
    <w:rsid w:val="3CF1460B"/>
    <w:rsid w:val="3CFE7137"/>
    <w:rsid w:val="3CFF5FCC"/>
    <w:rsid w:val="3D113DEE"/>
    <w:rsid w:val="3D1A706D"/>
    <w:rsid w:val="3D1E69C8"/>
    <w:rsid w:val="3D216871"/>
    <w:rsid w:val="3D244471"/>
    <w:rsid w:val="3D3B1B30"/>
    <w:rsid w:val="3D4C08A0"/>
    <w:rsid w:val="3D4D4F31"/>
    <w:rsid w:val="3D5305FD"/>
    <w:rsid w:val="3D5B4F5D"/>
    <w:rsid w:val="3D5F34BD"/>
    <w:rsid w:val="3D752505"/>
    <w:rsid w:val="3D762AD7"/>
    <w:rsid w:val="3D7A5575"/>
    <w:rsid w:val="3D7D0F46"/>
    <w:rsid w:val="3D8370EF"/>
    <w:rsid w:val="3D87456C"/>
    <w:rsid w:val="3D892448"/>
    <w:rsid w:val="3D916D86"/>
    <w:rsid w:val="3D9210C1"/>
    <w:rsid w:val="3D92386C"/>
    <w:rsid w:val="3D9901D9"/>
    <w:rsid w:val="3D9A6A88"/>
    <w:rsid w:val="3D9C583A"/>
    <w:rsid w:val="3D9E378A"/>
    <w:rsid w:val="3DA1312A"/>
    <w:rsid w:val="3DB66C9C"/>
    <w:rsid w:val="3DB740CD"/>
    <w:rsid w:val="3DC60812"/>
    <w:rsid w:val="3DCF4766"/>
    <w:rsid w:val="3DD03022"/>
    <w:rsid w:val="3DE5229E"/>
    <w:rsid w:val="3DEB027D"/>
    <w:rsid w:val="3E041EEC"/>
    <w:rsid w:val="3E051F58"/>
    <w:rsid w:val="3E066FA9"/>
    <w:rsid w:val="3E151359"/>
    <w:rsid w:val="3E151F4C"/>
    <w:rsid w:val="3E2C49F5"/>
    <w:rsid w:val="3E3300CE"/>
    <w:rsid w:val="3E552FB8"/>
    <w:rsid w:val="3E5A0513"/>
    <w:rsid w:val="3E5A3026"/>
    <w:rsid w:val="3E5D3CBD"/>
    <w:rsid w:val="3E657539"/>
    <w:rsid w:val="3E6D35C9"/>
    <w:rsid w:val="3E6F53B6"/>
    <w:rsid w:val="3E727C2D"/>
    <w:rsid w:val="3E7726C8"/>
    <w:rsid w:val="3E833861"/>
    <w:rsid w:val="3E880CDE"/>
    <w:rsid w:val="3E9902BD"/>
    <w:rsid w:val="3EAB68CC"/>
    <w:rsid w:val="3EB45BDF"/>
    <w:rsid w:val="3EC075F2"/>
    <w:rsid w:val="3EC07E82"/>
    <w:rsid w:val="3EC61005"/>
    <w:rsid w:val="3EC64136"/>
    <w:rsid w:val="3ECC6C03"/>
    <w:rsid w:val="3ED037EE"/>
    <w:rsid w:val="3EE16478"/>
    <w:rsid w:val="3EF2130E"/>
    <w:rsid w:val="3F00564E"/>
    <w:rsid w:val="3F0E4AA7"/>
    <w:rsid w:val="3F1744A9"/>
    <w:rsid w:val="3F193BE6"/>
    <w:rsid w:val="3F1D1FCC"/>
    <w:rsid w:val="3F23345D"/>
    <w:rsid w:val="3F322E39"/>
    <w:rsid w:val="3F3365BB"/>
    <w:rsid w:val="3F3C59F7"/>
    <w:rsid w:val="3F426AC3"/>
    <w:rsid w:val="3F444F2D"/>
    <w:rsid w:val="3F4D3AF7"/>
    <w:rsid w:val="3F547D51"/>
    <w:rsid w:val="3F68666F"/>
    <w:rsid w:val="3F6F5B87"/>
    <w:rsid w:val="3F722647"/>
    <w:rsid w:val="3F7463CC"/>
    <w:rsid w:val="3F7A2C0E"/>
    <w:rsid w:val="3F8506AB"/>
    <w:rsid w:val="3F8E25FD"/>
    <w:rsid w:val="3F981A4B"/>
    <w:rsid w:val="3FB771CD"/>
    <w:rsid w:val="3FB86B1A"/>
    <w:rsid w:val="3FBA408C"/>
    <w:rsid w:val="3FBB5DCF"/>
    <w:rsid w:val="3FBF1B5E"/>
    <w:rsid w:val="3FC454C6"/>
    <w:rsid w:val="3FC657A0"/>
    <w:rsid w:val="3FD86B47"/>
    <w:rsid w:val="3FE31D82"/>
    <w:rsid w:val="3FEE7226"/>
    <w:rsid w:val="3FF60A01"/>
    <w:rsid w:val="400C2C3F"/>
    <w:rsid w:val="40123B43"/>
    <w:rsid w:val="40151C80"/>
    <w:rsid w:val="40163B47"/>
    <w:rsid w:val="401A4816"/>
    <w:rsid w:val="404224B6"/>
    <w:rsid w:val="40432906"/>
    <w:rsid w:val="40433886"/>
    <w:rsid w:val="40516742"/>
    <w:rsid w:val="40573B87"/>
    <w:rsid w:val="405B60B6"/>
    <w:rsid w:val="40633FD6"/>
    <w:rsid w:val="406903C7"/>
    <w:rsid w:val="406930A8"/>
    <w:rsid w:val="406F59D7"/>
    <w:rsid w:val="40786C8E"/>
    <w:rsid w:val="40805B94"/>
    <w:rsid w:val="40813DBE"/>
    <w:rsid w:val="40830B74"/>
    <w:rsid w:val="40AA54F1"/>
    <w:rsid w:val="40C032DF"/>
    <w:rsid w:val="40CC1C7A"/>
    <w:rsid w:val="40D145D9"/>
    <w:rsid w:val="40DA6699"/>
    <w:rsid w:val="40E81F30"/>
    <w:rsid w:val="4107385B"/>
    <w:rsid w:val="4113642B"/>
    <w:rsid w:val="41151751"/>
    <w:rsid w:val="411D5581"/>
    <w:rsid w:val="411F13DA"/>
    <w:rsid w:val="41225E28"/>
    <w:rsid w:val="413635BD"/>
    <w:rsid w:val="413B717B"/>
    <w:rsid w:val="413E7731"/>
    <w:rsid w:val="414452F0"/>
    <w:rsid w:val="4146059B"/>
    <w:rsid w:val="415B01B8"/>
    <w:rsid w:val="415D31E9"/>
    <w:rsid w:val="417525E2"/>
    <w:rsid w:val="417F3AA5"/>
    <w:rsid w:val="418F3709"/>
    <w:rsid w:val="419E41FD"/>
    <w:rsid w:val="41A6561A"/>
    <w:rsid w:val="41A72A85"/>
    <w:rsid w:val="41AD068C"/>
    <w:rsid w:val="41BC51E7"/>
    <w:rsid w:val="41C1720A"/>
    <w:rsid w:val="41C807B8"/>
    <w:rsid w:val="41D35005"/>
    <w:rsid w:val="41DA7F1B"/>
    <w:rsid w:val="41E310E9"/>
    <w:rsid w:val="41E35AA4"/>
    <w:rsid w:val="41EC244C"/>
    <w:rsid w:val="42115916"/>
    <w:rsid w:val="4222777A"/>
    <w:rsid w:val="422C0B6F"/>
    <w:rsid w:val="424576B0"/>
    <w:rsid w:val="424F7E66"/>
    <w:rsid w:val="4279133E"/>
    <w:rsid w:val="427B56B5"/>
    <w:rsid w:val="42850BB4"/>
    <w:rsid w:val="429F4867"/>
    <w:rsid w:val="42A31ABC"/>
    <w:rsid w:val="42B876D7"/>
    <w:rsid w:val="42C12743"/>
    <w:rsid w:val="42C37F87"/>
    <w:rsid w:val="42C41CFF"/>
    <w:rsid w:val="42DC7FA5"/>
    <w:rsid w:val="42DE73EB"/>
    <w:rsid w:val="42EA5D21"/>
    <w:rsid w:val="42F55E0F"/>
    <w:rsid w:val="42F8391A"/>
    <w:rsid w:val="43002024"/>
    <w:rsid w:val="43041422"/>
    <w:rsid w:val="430B71E6"/>
    <w:rsid w:val="4313140F"/>
    <w:rsid w:val="431F3B2A"/>
    <w:rsid w:val="4328234D"/>
    <w:rsid w:val="4328318E"/>
    <w:rsid w:val="4337362E"/>
    <w:rsid w:val="43377A41"/>
    <w:rsid w:val="433C0AD9"/>
    <w:rsid w:val="43474516"/>
    <w:rsid w:val="435C2DD4"/>
    <w:rsid w:val="43606EE8"/>
    <w:rsid w:val="436D6C7E"/>
    <w:rsid w:val="43741116"/>
    <w:rsid w:val="43825E8E"/>
    <w:rsid w:val="438C60C3"/>
    <w:rsid w:val="438D3A8B"/>
    <w:rsid w:val="43B67D40"/>
    <w:rsid w:val="43C90ABC"/>
    <w:rsid w:val="43D60F59"/>
    <w:rsid w:val="43D6358D"/>
    <w:rsid w:val="43E61AF4"/>
    <w:rsid w:val="43EA6FF8"/>
    <w:rsid w:val="43EC7960"/>
    <w:rsid w:val="43FA1F0F"/>
    <w:rsid w:val="440313A1"/>
    <w:rsid w:val="44083C52"/>
    <w:rsid w:val="440B5E9D"/>
    <w:rsid w:val="44154F1C"/>
    <w:rsid w:val="44160887"/>
    <w:rsid w:val="441B1DA2"/>
    <w:rsid w:val="441C02A4"/>
    <w:rsid w:val="44290F04"/>
    <w:rsid w:val="44387B6B"/>
    <w:rsid w:val="44396033"/>
    <w:rsid w:val="443F24A6"/>
    <w:rsid w:val="444168F4"/>
    <w:rsid w:val="4445371E"/>
    <w:rsid w:val="444F4CC5"/>
    <w:rsid w:val="44723E90"/>
    <w:rsid w:val="447F2079"/>
    <w:rsid w:val="44905E4F"/>
    <w:rsid w:val="449307DD"/>
    <w:rsid w:val="449924D3"/>
    <w:rsid w:val="449C324D"/>
    <w:rsid w:val="44AE2C64"/>
    <w:rsid w:val="44B25954"/>
    <w:rsid w:val="44B571A3"/>
    <w:rsid w:val="44B578AF"/>
    <w:rsid w:val="44BB5881"/>
    <w:rsid w:val="44BF3C17"/>
    <w:rsid w:val="44C2475D"/>
    <w:rsid w:val="44C4105B"/>
    <w:rsid w:val="44C52BC8"/>
    <w:rsid w:val="44C70D28"/>
    <w:rsid w:val="44DD58AE"/>
    <w:rsid w:val="44E43637"/>
    <w:rsid w:val="44EE5D75"/>
    <w:rsid w:val="44F2491C"/>
    <w:rsid w:val="44F50EE8"/>
    <w:rsid w:val="44F64EB1"/>
    <w:rsid w:val="45057185"/>
    <w:rsid w:val="45157910"/>
    <w:rsid w:val="451B4B19"/>
    <w:rsid w:val="451B643C"/>
    <w:rsid w:val="451F0CC1"/>
    <w:rsid w:val="45356668"/>
    <w:rsid w:val="45400BC0"/>
    <w:rsid w:val="455C4C80"/>
    <w:rsid w:val="455D4229"/>
    <w:rsid w:val="45617F43"/>
    <w:rsid w:val="45675C27"/>
    <w:rsid w:val="4572498F"/>
    <w:rsid w:val="458469DB"/>
    <w:rsid w:val="45863114"/>
    <w:rsid w:val="45871207"/>
    <w:rsid w:val="458A03D0"/>
    <w:rsid w:val="459D3251"/>
    <w:rsid w:val="45A1725C"/>
    <w:rsid w:val="45A34A00"/>
    <w:rsid w:val="45B33A3B"/>
    <w:rsid w:val="45C20D69"/>
    <w:rsid w:val="45D077D4"/>
    <w:rsid w:val="45DE6754"/>
    <w:rsid w:val="45EF1E60"/>
    <w:rsid w:val="45F65F21"/>
    <w:rsid w:val="45F877F1"/>
    <w:rsid w:val="46043836"/>
    <w:rsid w:val="46163A58"/>
    <w:rsid w:val="4616630D"/>
    <w:rsid w:val="461C30A3"/>
    <w:rsid w:val="461F2208"/>
    <w:rsid w:val="462253D7"/>
    <w:rsid w:val="462312F7"/>
    <w:rsid w:val="463416CE"/>
    <w:rsid w:val="46370D5C"/>
    <w:rsid w:val="4638223A"/>
    <w:rsid w:val="4641025F"/>
    <w:rsid w:val="464B7611"/>
    <w:rsid w:val="46555121"/>
    <w:rsid w:val="4660177E"/>
    <w:rsid w:val="466E0F0B"/>
    <w:rsid w:val="4673382E"/>
    <w:rsid w:val="4675674D"/>
    <w:rsid w:val="468D1FB1"/>
    <w:rsid w:val="468F6773"/>
    <w:rsid w:val="469A330F"/>
    <w:rsid w:val="469F56A5"/>
    <w:rsid w:val="46AF29BC"/>
    <w:rsid w:val="46C86EBD"/>
    <w:rsid w:val="46DA4A29"/>
    <w:rsid w:val="46DE2697"/>
    <w:rsid w:val="46E26B7A"/>
    <w:rsid w:val="46EF6364"/>
    <w:rsid w:val="46F22FE0"/>
    <w:rsid w:val="46FE495F"/>
    <w:rsid w:val="470B3C00"/>
    <w:rsid w:val="470C0086"/>
    <w:rsid w:val="470E7548"/>
    <w:rsid w:val="4710440D"/>
    <w:rsid w:val="471911A4"/>
    <w:rsid w:val="471E3E36"/>
    <w:rsid w:val="472505FE"/>
    <w:rsid w:val="47334703"/>
    <w:rsid w:val="47397A2F"/>
    <w:rsid w:val="473C7D38"/>
    <w:rsid w:val="47453296"/>
    <w:rsid w:val="474642EB"/>
    <w:rsid w:val="47464FC4"/>
    <w:rsid w:val="474C1532"/>
    <w:rsid w:val="4751578B"/>
    <w:rsid w:val="47561544"/>
    <w:rsid w:val="476025BF"/>
    <w:rsid w:val="47667359"/>
    <w:rsid w:val="47692A32"/>
    <w:rsid w:val="476F7EEF"/>
    <w:rsid w:val="47707676"/>
    <w:rsid w:val="477E5C97"/>
    <w:rsid w:val="477E7524"/>
    <w:rsid w:val="47833A3E"/>
    <w:rsid w:val="4786400A"/>
    <w:rsid w:val="479A3DE3"/>
    <w:rsid w:val="47AB5020"/>
    <w:rsid w:val="47C01F75"/>
    <w:rsid w:val="47DB202B"/>
    <w:rsid w:val="47E65C2F"/>
    <w:rsid w:val="47EB601C"/>
    <w:rsid w:val="47F664B8"/>
    <w:rsid w:val="47F76470"/>
    <w:rsid w:val="47FC1D1A"/>
    <w:rsid w:val="48052A48"/>
    <w:rsid w:val="48067F05"/>
    <w:rsid w:val="48082259"/>
    <w:rsid w:val="481A5198"/>
    <w:rsid w:val="482C7A14"/>
    <w:rsid w:val="4830797B"/>
    <w:rsid w:val="484A5559"/>
    <w:rsid w:val="485974B8"/>
    <w:rsid w:val="485A507F"/>
    <w:rsid w:val="486E3D48"/>
    <w:rsid w:val="48723A44"/>
    <w:rsid w:val="487E02E7"/>
    <w:rsid w:val="48A067FF"/>
    <w:rsid w:val="48A26C6C"/>
    <w:rsid w:val="48A614FD"/>
    <w:rsid w:val="48B84574"/>
    <w:rsid w:val="48C75723"/>
    <w:rsid w:val="48C835B6"/>
    <w:rsid w:val="48CD6635"/>
    <w:rsid w:val="48D5673E"/>
    <w:rsid w:val="48DE76C4"/>
    <w:rsid w:val="48E16DD8"/>
    <w:rsid w:val="48E31A8E"/>
    <w:rsid w:val="48E5360E"/>
    <w:rsid w:val="48F15DFA"/>
    <w:rsid w:val="4900172C"/>
    <w:rsid w:val="491451B5"/>
    <w:rsid w:val="491A53A2"/>
    <w:rsid w:val="492C6E96"/>
    <w:rsid w:val="493779BE"/>
    <w:rsid w:val="493F499D"/>
    <w:rsid w:val="4940480E"/>
    <w:rsid w:val="494139AE"/>
    <w:rsid w:val="494E7EAB"/>
    <w:rsid w:val="49597EFF"/>
    <w:rsid w:val="49657721"/>
    <w:rsid w:val="49683F5D"/>
    <w:rsid w:val="49825CBE"/>
    <w:rsid w:val="49A67A57"/>
    <w:rsid w:val="49AD250C"/>
    <w:rsid w:val="49AF05DA"/>
    <w:rsid w:val="49B839C4"/>
    <w:rsid w:val="49CB3BD0"/>
    <w:rsid w:val="49D94FE5"/>
    <w:rsid w:val="49DC4ED9"/>
    <w:rsid w:val="49F43B8C"/>
    <w:rsid w:val="49F678F8"/>
    <w:rsid w:val="4A0D10B0"/>
    <w:rsid w:val="4A223490"/>
    <w:rsid w:val="4A280924"/>
    <w:rsid w:val="4A2B1DEA"/>
    <w:rsid w:val="4A2D0F49"/>
    <w:rsid w:val="4A3523B2"/>
    <w:rsid w:val="4A443451"/>
    <w:rsid w:val="4A483D90"/>
    <w:rsid w:val="4A615695"/>
    <w:rsid w:val="4A712BA0"/>
    <w:rsid w:val="4A7A21C8"/>
    <w:rsid w:val="4A86569C"/>
    <w:rsid w:val="4A9A792C"/>
    <w:rsid w:val="4A9C373F"/>
    <w:rsid w:val="4AA56938"/>
    <w:rsid w:val="4AAE33D4"/>
    <w:rsid w:val="4AAF3DD8"/>
    <w:rsid w:val="4ABD625F"/>
    <w:rsid w:val="4AC01D67"/>
    <w:rsid w:val="4AC80764"/>
    <w:rsid w:val="4AE378B3"/>
    <w:rsid w:val="4AEB5D56"/>
    <w:rsid w:val="4AF733EF"/>
    <w:rsid w:val="4B071D1C"/>
    <w:rsid w:val="4B1232DD"/>
    <w:rsid w:val="4B151D54"/>
    <w:rsid w:val="4B1C5BD6"/>
    <w:rsid w:val="4B2030CF"/>
    <w:rsid w:val="4B273CDB"/>
    <w:rsid w:val="4B2A5E61"/>
    <w:rsid w:val="4B2B23B8"/>
    <w:rsid w:val="4B401327"/>
    <w:rsid w:val="4B551754"/>
    <w:rsid w:val="4B5A73D8"/>
    <w:rsid w:val="4B5B2881"/>
    <w:rsid w:val="4B6071FD"/>
    <w:rsid w:val="4B6842EC"/>
    <w:rsid w:val="4B7707CA"/>
    <w:rsid w:val="4B8B3A50"/>
    <w:rsid w:val="4B90225B"/>
    <w:rsid w:val="4B911420"/>
    <w:rsid w:val="4B914690"/>
    <w:rsid w:val="4B967ECC"/>
    <w:rsid w:val="4B9801F4"/>
    <w:rsid w:val="4BAA574F"/>
    <w:rsid w:val="4BAB1B30"/>
    <w:rsid w:val="4BBE5648"/>
    <w:rsid w:val="4BD70D0D"/>
    <w:rsid w:val="4BE55BB9"/>
    <w:rsid w:val="4BE75CB2"/>
    <w:rsid w:val="4BEE16DF"/>
    <w:rsid w:val="4BF2074E"/>
    <w:rsid w:val="4C0F5E43"/>
    <w:rsid w:val="4C23594D"/>
    <w:rsid w:val="4C2941CA"/>
    <w:rsid w:val="4C2E7524"/>
    <w:rsid w:val="4C380520"/>
    <w:rsid w:val="4C3979DB"/>
    <w:rsid w:val="4C3D2514"/>
    <w:rsid w:val="4C3E0FF7"/>
    <w:rsid w:val="4C4128E4"/>
    <w:rsid w:val="4C423AC8"/>
    <w:rsid w:val="4C642696"/>
    <w:rsid w:val="4C753405"/>
    <w:rsid w:val="4C834096"/>
    <w:rsid w:val="4C847B8A"/>
    <w:rsid w:val="4C901025"/>
    <w:rsid w:val="4C96033B"/>
    <w:rsid w:val="4C97549D"/>
    <w:rsid w:val="4C9F5F18"/>
    <w:rsid w:val="4CA52FBE"/>
    <w:rsid w:val="4CA6567B"/>
    <w:rsid w:val="4CAB201F"/>
    <w:rsid w:val="4CC4204E"/>
    <w:rsid w:val="4CC754CA"/>
    <w:rsid w:val="4CCF2F1F"/>
    <w:rsid w:val="4CD841F0"/>
    <w:rsid w:val="4CD87782"/>
    <w:rsid w:val="4CDA1C06"/>
    <w:rsid w:val="4CDD1206"/>
    <w:rsid w:val="4CF06B00"/>
    <w:rsid w:val="4CF76CE2"/>
    <w:rsid w:val="4CF813F9"/>
    <w:rsid w:val="4CFA2A1C"/>
    <w:rsid w:val="4D140C26"/>
    <w:rsid w:val="4D1B2635"/>
    <w:rsid w:val="4D2251B3"/>
    <w:rsid w:val="4D2A31DF"/>
    <w:rsid w:val="4D3071CD"/>
    <w:rsid w:val="4D463441"/>
    <w:rsid w:val="4D607AA8"/>
    <w:rsid w:val="4D6837B8"/>
    <w:rsid w:val="4D6A0811"/>
    <w:rsid w:val="4D6F6F69"/>
    <w:rsid w:val="4D776DC3"/>
    <w:rsid w:val="4D877D93"/>
    <w:rsid w:val="4D905912"/>
    <w:rsid w:val="4D9159F5"/>
    <w:rsid w:val="4D96605A"/>
    <w:rsid w:val="4D98115A"/>
    <w:rsid w:val="4DA01148"/>
    <w:rsid w:val="4DB11BBF"/>
    <w:rsid w:val="4DCD73A9"/>
    <w:rsid w:val="4DDE509A"/>
    <w:rsid w:val="4DE74431"/>
    <w:rsid w:val="4DF21DFB"/>
    <w:rsid w:val="4DFD3850"/>
    <w:rsid w:val="4E0E6E43"/>
    <w:rsid w:val="4E1702F3"/>
    <w:rsid w:val="4E2369FD"/>
    <w:rsid w:val="4E303544"/>
    <w:rsid w:val="4E33408C"/>
    <w:rsid w:val="4E3D0BD7"/>
    <w:rsid w:val="4E3D42C6"/>
    <w:rsid w:val="4E41233A"/>
    <w:rsid w:val="4E652349"/>
    <w:rsid w:val="4E710658"/>
    <w:rsid w:val="4E846458"/>
    <w:rsid w:val="4E8603AB"/>
    <w:rsid w:val="4E9D6535"/>
    <w:rsid w:val="4EA2405B"/>
    <w:rsid w:val="4EB244F5"/>
    <w:rsid w:val="4EC250AA"/>
    <w:rsid w:val="4EC43EE2"/>
    <w:rsid w:val="4EDC653A"/>
    <w:rsid w:val="4EE23ABC"/>
    <w:rsid w:val="4F0129AC"/>
    <w:rsid w:val="4F01717B"/>
    <w:rsid w:val="4F097167"/>
    <w:rsid w:val="4F0D434F"/>
    <w:rsid w:val="4F2426EF"/>
    <w:rsid w:val="4F401FBB"/>
    <w:rsid w:val="4F4F565B"/>
    <w:rsid w:val="4F531102"/>
    <w:rsid w:val="4F576D7F"/>
    <w:rsid w:val="4F5A4BC4"/>
    <w:rsid w:val="4F626555"/>
    <w:rsid w:val="4F7933F9"/>
    <w:rsid w:val="4F7B2A3C"/>
    <w:rsid w:val="4F8144A4"/>
    <w:rsid w:val="4F8731AB"/>
    <w:rsid w:val="4F903087"/>
    <w:rsid w:val="4FA80752"/>
    <w:rsid w:val="4FAD3702"/>
    <w:rsid w:val="4FB23F6E"/>
    <w:rsid w:val="4FC6748D"/>
    <w:rsid w:val="4FD14464"/>
    <w:rsid w:val="4FE20BB5"/>
    <w:rsid w:val="4FE6073F"/>
    <w:rsid w:val="4FE75848"/>
    <w:rsid w:val="4FEA51AE"/>
    <w:rsid w:val="4FF267B6"/>
    <w:rsid w:val="4FFA7287"/>
    <w:rsid w:val="500C2485"/>
    <w:rsid w:val="500C2A64"/>
    <w:rsid w:val="50166EE3"/>
    <w:rsid w:val="502C53C6"/>
    <w:rsid w:val="503839AD"/>
    <w:rsid w:val="503B7294"/>
    <w:rsid w:val="50435A98"/>
    <w:rsid w:val="50564035"/>
    <w:rsid w:val="50576974"/>
    <w:rsid w:val="505E566C"/>
    <w:rsid w:val="50736D9F"/>
    <w:rsid w:val="509A6650"/>
    <w:rsid w:val="50B14CA7"/>
    <w:rsid w:val="50B42C92"/>
    <w:rsid w:val="50C46433"/>
    <w:rsid w:val="50CA02C2"/>
    <w:rsid w:val="50F04F61"/>
    <w:rsid w:val="50F55DCE"/>
    <w:rsid w:val="50F62803"/>
    <w:rsid w:val="51122A4F"/>
    <w:rsid w:val="5118355B"/>
    <w:rsid w:val="5125613F"/>
    <w:rsid w:val="512A08D6"/>
    <w:rsid w:val="512B081D"/>
    <w:rsid w:val="512B4746"/>
    <w:rsid w:val="5135598E"/>
    <w:rsid w:val="513B386C"/>
    <w:rsid w:val="5150314F"/>
    <w:rsid w:val="51526357"/>
    <w:rsid w:val="51533CC7"/>
    <w:rsid w:val="51552566"/>
    <w:rsid w:val="515F7EA6"/>
    <w:rsid w:val="516164B6"/>
    <w:rsid w:val="516372E4"/>
    <w:rsid w:val="516414B3"/>
    <w:rsid w:val="517003D2"/>
    <w:rsid w:val="517F3890"/>
    <w:rsid w:val="51887C28"/>
    <w:rsid w:val="519705C8"/>
    <w:rsid w:val="519B3A9C"/>
    <w:rsid w:val="51B33439"/>
    <w:rsid w:val="51B3391D"/>
    <w:rsid w:val="51B66D18"/>
    <w:rsid w:val="51BD3E01"/>
    <w:rsid w:val="51CB7231"/>
    <w:rsid w:val="51DE6A73"/>
    <w:rsid w:val="51F326E7"/>
    <w:rsid w:val="52037937"/>
    <w:rsid w:val="521956B4"/>
    <w:rsid w:val="52306F10"/>
    <w:rsid w:val="523F19CF"/>
    <w:rsid w:val="52463294"/>
    <w:rsid w:val="52473222"/>
    <w:rsid w:val="524C1ED0"/>
    <w:rsid w:val="5252693E"/>
    <w:rsid w:val="525B21B3"/>
    <w:rsid w:val="5288723F"/>
    <w:rsid w:val="529D62AB"/>
    <w:rsid w:val="529F4D3D"/>
    <w:rsid w:val="52A764C0"/>
    <w:rsid w:val="52A77E20"/>
    <w:rsid w:val="52AA1D5D"/>
    <w:rsid w:val="52AA5BC1"/>
    <w:rsid w:val="52B27CEE"/>
    <w:rsid w:val="52C716E5"/>
    <w:rsid w:val="52C73CB6"/>
    <w:rsid w:val="52CF5BD6"/>
    <w:rsid w:val="52E02DB1"/>
    <w:rsid w:val="52E15A71"/>
    <w:rsid w:val="52E64FBD"/>
    <w:rsid w:val="52ED5A18"/>
    <w:rsid w:val="52F804A2"/>
    <w:rsid w:val="53002131"/>
    <w:rsid w:val="530B0D9A"/>
    <w:rsid w:val="530C65D4"/>
    <w:rsid w:val="532049B3"/>
    <w:rsid w:val="5322043D"/>
    <w:rsid w:val="5328483A"/>
    <w:rsid w:val="532D0EE3"/>
    <w:rsid w:val="53361AE6"/>
    <w:rsid w:val="533C018A"/>
    <w:rsid w:val="53452322"/>
    <w:rsid w:val="534578C9"/>
    <w:rsid w:val="5347639A"/>
    <w:rsid w:val="534E13AE"/>
    <w:rsid w:val="534E2F35"/>
    <w:rsid w:val="53513372"/>
    <w:rsid w:val="537629B5"/>
    <w:rsid w:val="537B6AB8"/>
    <w:rsid w:val="538556C1"/>
    <w:rsid w:val="53866318"/>
    <w:rsid w:val="53A7222E"/>
    <w:rsid w:val="53A97A93"/>
    <w:rsid w:val="53B37E37"/>
    <w:rsid w:val="53C20ED8"/>
    <w:rsid w:val="53C548B5"/>
    <w:rsid w:val="53C87335"/>
    <w:rsid w:val="53D25C65"/>
    <w:rsid w:val="53E33A9E"/>
    <w:rsid w:val="53EF6E85"/>
    <w:rsid w:val="53F050F7"/>
    <w:rsid w:val="53FD74A7"/>
    <w:rsid w:val="54026475"/>
    <w:rsid w:val="54066812"/>
    <w:rsid w:val="540D2DB1"/>
    <w:rsid w:val="54113405"/>
    <w:rsid w:val="54265DCC"/>
    <w:rsid w:val="54564BA3"/>
    <w:rsid w:val="545A23E4"/>
    <w:rsid w:val="545D2A76"/>
    <w:rsid w:val="547C69F2"/>
    <w:rsid w:val="548352CB"/>
    <w:rsid w:val="548B782B"/>
    <w:rsid w:val="548B79F3"/>
    <w:rsid w:val="54900F96"/>
    <w:rsid w:val="54990495"/>
    <w:rsid w:val="54A12B05"/>
    <w:rsid w:val="54AE498A"/>
    <w:rsid w:val="54B56EED"/>
    <w:rsid w:val="54D509EC"/>
    <w:rsid w:val="54D73DC0"/>
    <w:rsid w:val="54D94CB6"/>
    <w:rsid w:val="54DB3A57"/>
    <w:rsid w:val="54E812AC"/>
    <w:rsid w:val="54EA5084"/>
    <w:rsid w:val="55093E22"/>
    <w:rsid w:val="553266E7"/>
    <w:rsid w:val="553413DD"/>
    <w:rsid w:val="55367F4D"/>
    <w:rsid w:val="553A13A9"/>
    <w:rsid w:val="55440B0E"/>
    <w:rsid w:val="55494A31"/>
    <w:rsid w:val="554B1F27"/>
    <w:rsid w:val="556D79E1"/>
    <w:rsid w:val="557370C9"/>
    <w:rsid w:val="55794F8B"/>
    <w:rsid w:val="557B4C8B"/>
    <w:rsid w:val="55832F33"/>
    <w:rsid w:val="558A5F58"/>
    <w:rsid w:val="558D782E"/>
    <w:rsid w:val="558F42FA"/>
    <w:rsid w:val="55951C70"/>
    <w:rsid w:val="55B15C2A"/>
    <w:rsid w:val="55B52DF8"/>
    <w:rsid w:val="55BB4B52"/>
    <w:rsid w:val="55CA34C8"/>
    <w:rsid w:val="55CB1CAC"/>
    <w:rsid w:val="55D11067"/>
    <w:rsid w:val="55D1448A"/>
    <w:rsid w:val="55D15F89"/>
    <w:rsid w:val="55D24E7E"/>
    <w:rsid w:val="55EA6D1D"/>
    <w:rsid w:val="55EE45E5"/>
    <w:rsid w:val="55FE6BE4"/>
    <w:rsid w:val="56053523"/>
    <w:rsid w:val="560839E5"/>
    <w:rsid w:val="560A2D1E"/>
    <w:rsid w:val="561B3DC0"/>
    <w:rsid w:val="56211BC6"/>
    <w:rsid w:val="563252AC"/>
    <w:rsid w:val="565874D5"/>
    <w:rsid w:val="56597936"/>
    <w:rsid w:val="565A3745"/>
    <w:rsid w:val="56674043"/>
    <w:rsid w:val="566A4A9E"/>
    <w:rsid w:val="56890707"/>
    <w:rsid w:val="5694199B"/>
    <w:rsid w:val="56A010CA"/>
    <w:rsid w:val="56A8433D"/>
    <w:rsid w:val="56B50793"/>
    <w:rsid w:val="56BA6A6F"/>
    <w:rsid w:val="56D87655"/>
    <w:rsid w:val="56DA3AE3"/>
    <w:rsid w:val="56DC7D13"/>
    <w:rsid w:val="56DD7F29"/>
    <w:rsid w:val="56DF393F"/>
    <w:rsid w:val="56E70250"/>
    <w:rsid w:val="56E82126"/>
    <w:rsid w:val="56F267E1"/>
    <w:rsid w:val="56F54041"/>
    <w:rsid w:val="57036935"/>
    <w:rsid w:val="57066F91"/>
    <w:rsid w:val="571324AB"/>
    <w:rsid w:val="571E6EC9"/>
    <w:rsid w:val="57211E57"/>
    <w:rsid w:val="57271B76"/>
    <w:rsid w:val="57290486"/>
    <w:rsid w:val="573B6A9D"/>
    <w:rsid w:val="57495B53"/>
    <w:rsid w:val="57555665"/>
    <w:rsid w:val="575F3DA0"/>
    <w:rsid w:val="575F7D63"/>
    <w:rsid w:val="57607DA2"/>
    <w:rsid w:val="5764164C"/>
    <w:rsid w:val="576E32F7"/>
    <w:rsid w:val="57741E6F"/>
    <w:rsid w:val="577838C7"/>
    <w:rsid w:val="577A51D7"/>
    <w:rsid w:val="578274F3"/>
    <w:rsid w:val="57885BFA"/>
    <w:rsid w:val="578E0E4C"/>
    <w:rsid w:val="579646C9"/>
    <w:rsid w:val="5798597C"/>
    <w:rsid w:val="579B3D5F"/>
    <w:rsid w:val="579E4CE6"/>
    <w:rsid w:val="57A13973"/>
    <w:rsid w:val="57AB1756"/>
    <w:rsid w:val="57B377B9"/>
    <w:rsid w:val="57BA40E0"/>
    <w:rsid w:val="57BC46BB"/>
    <w:rsid w:val="57C05330"/>
    <w:rsid w:val="57E46B48"/>
    <w:rsid w:val="57E47536"/>
    <w:rsid w:val="57F86A47"/>
    <w:rsid w:val="5801289D"/>
    <w:rsid w:val="58033F83"/>
    <w:rsid w:val="58034FDF"/>
    <w:rsid w:val="58051F1B"/>
    <w:rsid w:val="580F2CBC"/>
    <w:rsid w:val="581669AF"/>
    <w:rsid w:val="582A0100"/>
    <w:rsid w:val="582A6F6D"/>
    <w:rsid w:val="58336793"/>
    <w:rsid w:val="58461CAA"/>
    <w:rsid w:val="5846712E"/>
    <w:rsid w:val="584E4B11"/>
    <w:rsid w:val="58572E7D"/>
    <w:rsid w:val="585A63E7"/>
    <w:rsid w:val="58651D86"/>
    <w:rsid w:val="586649AD"/>
    <w:rsid w:val="58687B2D"/>
    <w:rsid w:val="586C05B7"/>
    <w:rsid w:val="586C737F"/>
    <w:rsid w:val="587B333A"/>
    <w:rsid w:val="587F5229"/>
    <w:rsid w:val="588300A0"/>
    <w:rsid w:val="58872DB5"/>
    <w:rsid w:val="58876E23"/>
    <w:rsid w:val="5889510C"/>
    <w:rsid w:val="588E3958"/>
    <w:rsid w:val="58957BD9"/>
    <w:rsid w:val="58A03185"/>
    <w:rsid w:val="58A04280"/>
    <w:rsid w:val="58A4669B"/>
    <w:rsid w:val="58A74E2C"/>
    <w:rsid w:val="58B50A9E"/>
    <w:rsid w:val="58B54357"/>
    <w:rsid w:val="58B67D21"/>
    <w:rsid w:val="58C213D0"/>
    <w:rsid w:val="58CA2633"/>
    <w:rsid w:val="58D108AB"/>
    <w:rsid w:val="58D973ED"/>
    <w:rsid w:val="58E849A9"/>
    <w:rsid w:val="58F14B54"/>
    <w:rsid w:val="590848BC"/>
    <w:rsid w:val="5917423E"/>
    <w:rsid w:val="59281BBA"/>
    <w:rsid w:val="59383FC3"/>
    <w:rsid w:val="593B0E3D"/>
    <w:rsid w:val="594C374D"/>
    <w:rsid w:val="59523F34"/>
    <w:rsid w:val="59565A07"/>
    <w:rsid w:val="595912C2"/>
    <w:rsid w:val="59826013"/>
    <w:rsid w:val="598C6A35"/>
    <w:rsid w:val="599312D8"/>
    <w:rsid w:val="599B1422"/>
    <w:rsid w:val="59A83A62"/>
    <w:rsid w:val="59AE6DF4"/>
    <w:rsid w:val="59AF2D7A"/>
    <w:rsid w:val="59B4120E"/>
    <w:rsid w:val="59BD41FF"/>
    <w:rsid w:val="59C62A60"/>
    <w:rsid w:val="59CF35AC"/>
    <w:rsid w:val="59D93084"/>
    <w:rsid w:val="59E268FB"/>
    <w:rsid w:val="59E539F6"/>
    <w:rsid w:val="5A082B87"/>
    <w:rsid w:val="5A0C31B3"/>
    <w:rsid w:val="5A0D6A16"/>
    <w:rsid w:val="5A13713E"/>
    <w:rsid w:val="5A280787"/>
    <w:rsid w:val="5A2B68D2"/>
    <w:rsid w:val="5A2C67A3"/>
    <w:rsid w:val="5A2F6ABD"/>
    <w:rsid w:val="5A415650"/>
    <w:rsid w:val="5A507CF4"/>
    <w:rsid w:val="5A5105C3"/>
    <w:rsid w:val="5A58463C"/>
    <w:rsid w:val="5A5925FE"/>
    <w:rsid w:val="5A5A54FE"/>
    <w:rsid w:val="5A5A763A"/>
    <w:rsid w:val="5A70416F"/>
    <w:rsid w:val="5A751708"/>
    <w:rsid w:val="5A8654CC"/>
    <w:rsid w:val="5A8D164F"/>
    <w:rsid w:val="5AAD6717"/>
    <w:rsid w:val="5AB032EE"/>
    <w:rsid w:val="5AB36283"/>
    <w:rsid w:val="5ABA5BB6"/>
    <w:rsid w:val="5AC13BE8"/>
    <w:rsid w:val="5AD806B8"/>
    <w:rsid w:val="5ADA200C"/>
    <w:rsid w:val="5ADA5D95"/>
    <w:rsid w:val="5AE03D79"/>
    <w:rsid w:val="5AF0056F"/>
    <w:rsid w:val="5AF0295A"/>
    <w:rsid w:val="5B006684"/>
    <w:rsid w:val="5B04366C"/>
    <w:rsid w:val="5B0C78F5"/>
    <w:rsid w:val="5B1523FA"/>
    <w:rsid w:val="5B217F39"/>
    <w:rsid w:val="5B2E1668"/>
    <w:rsid w:val="5B39471A"/>
    <w:rsid w:val="5B4C60A1"/>
    <w:rsid w:val="5B500A59"/>
    <w:rsid w:val="5B506AC3"/>
    <w:rsid w:val="5B526958"/>
    <w:rsid w:val="5B536466"/>
    <w:rsid w:val="5B5B7E61"/>
    <w:rsid w:val="5B68723A"/>
    <w:rsid w:val="5B743189"/>
    <w:rsid w:val="5B875274"/>
    <w:rsid w:val="5B930D6A"/>
    <w:rsid w:val="5B9C259D"/>
    <w:rsid w:val="5BA51E4A"/>
    <w:rsid w:val="5BA93B43"/>
    <w:rsid w:val="5BB67C27"/>
    <w:rsid w:val="5BB97332"/>
    <w:rsid w:val="5BBC6476"/>
    <w:rsid w:val="5BCF72D3"/>
    <w:rsid w:val="5BD06812"/>
    <w:rsid w:val="5BD734B1"/>
    <w:rsid w:val="5BEA796C"/>
    <w:rsid w:val="5BF12BF0"/>
    <w:rsid w:val="5BF96A75"/>
    <w:rsid w:val="5C1C4A54"/>
    <w:rsid w:val="5C1D6C33"/>
    <w:rsid w:val="5C211073"/>
    <w:rsid w:val="5C284801"/>
    <w:rsid w:val="5C2F4606"/>
    <w:rsid w:val="5C2F7B0C"/>
    <w:rsid w:val="5C305DF7"/>
    <w:rsid w:val="5C331AF1"/>
    <w:rsid w:val="5C3D01F5"/>
    <w:rsid w:val="5C3D2513"/>
    <w:rsid w:val="5C4E4EC4"/>
    <w:rsid w:val="5C69733D"/>
    <w:rsid w:val="5C74658F"/>
    <w:rsid w:val="5C831D8A"/>
    <w:rsid w:val="5C8C7C44"/>
    <w:rsid w:val="5C987128"/>
    <w:rsid w:val="5C9A36E7"/>
    <w:rsid w:val="5CAB4B60"/>
    <w:rsid w:val="5CBF06B9"/>
    <w:rsid w:val="5CC10696"/>
    <w:rsid w:val="5CC2795B"/>
    <w:rsid w:val="5CC724C1"/>
    <w:rsid w:val="5CCB25AC"/>
    <w:rsid w:val="5CCC2C10"/>
    <w:rsid w:val="5CDA79EE"/>
    <w:rsid w:val="5CDB289C"/>
    <w:rsid w:val="5CDC5A59"/>
    <w:rsid w:val="5CDD1115"/>
    <w:rsid w:val="5CE96A5A"/>
    <w:rsid w:val="5CF161C6"/>
    <w:rsid w:val="5CF30676"/>
    <w:rsid w:val="5CF329AB"/>
    <w:rsid w:val="5CFA66B6"/>
    <w:rsid w:val="5D041DC0"/>
    <w:rsid w:val="5D11373C"/>
    <w:rsid w:val="5D155469"/>
    <w:rsid w:val="5D1B79E4"/>
    <w:rsid w:val="5D2F09CE"/>
    <w:rsid w:val="5D4C2BA0"/>
    <w:rsid w:val="5D604556"/>
    <w:rsid w:val="5DA03427"/>
    <w:rsid w:val="5DA12B26"/>
    <w:rsid w:val="5DA52D6F"/>
    <w:rsid w:val="5DBE365D"/>
    <w:rsid w:val="5DF242AA"/>
    <w:rsid w:val="5DF27D5A"/>
    <w:rsid w:val="5DF90388"/>
    <w:rsid w:val="5E033F14"/>
    <w:rsid w:val="5E040059"/>
    <w:rsid w:val="5E0603B6"/>
    <w:rsid w:val="5E084C7B"/>
    <w:rsid w:val="5E0914A4"/>
    <w:rsid w:val="5E0A5C5D"/>
    <w:rsid w:val="5E1844B1"/>
    <w:rsid w:val="5E1F00DC"/>
    <w:rsid w:val="5E2349C0"/>
    <w:rsid w:val="5E250B5E"/>
    <w:rsid w:val="5E325F47"/>
    <w:rsid w:val="5E3C6C0B"/>
    <w:rsid w:val="5E3F4424"/>
    <w:rsid w:val="5E433908"/>
    <w:rsid w:val="5E506258"/>
    <w:rsid w:val="5E596E47"/>
    <w:rsid w:val="5E607A72"/>
    <w:rsid w:val="5E640B4C"/>
    <w:rsid w:val="5E6D4A6C"/>
    <w:rsid w:val="5E721515"/>
    <w:rsid w:val="5E8421F4"/>
    <w:rsid w:val="5E857C28"/>
    <w:rsid w:val="5E922AF4"/>
    <w:rsid w:val="5E943315"/>
    <w:rsid w:val="5E976953"/>
    <w:rsid w:val="5E99403E"/>
    <w:rsid w:val="5EA23BEF"/>
    <w:rsid w:val="5EAA45C2"/>
    <w:rsid w:val="5EAB7374"/>
    <w:rsid w:val="5EB5647F"/>
    <w:rsid w:val="5ECA27B9"/>
    <w:rsid w:val="5ECB7BF2"/>
    <w:rsid w:val="5EE969C3"/>
    <w:rsid w:val="5EF24373"/>
    <w:rsid w:val="5EF30AE7"/>
    <w:rsid w:val="5EF775EB"/>
    <w:rsid w:val="5F062025"/>
    <w:rsid w:val="5F123402"/>
    <w:rsid w:val="5F15489F"/>
    <w:rsid w:val="5F160E8A"/>
    <w:rsid w:val="5F1B18E3"/>
    <w:rsid w:val="5F1B6750"/>
    <w:rsid w:val="5F2E502C"/>
    <w:rsid w:val="5F3F41A6"/>
    <w:rsid w:val="5F416DDD"/>
    <w:rsid w:val="5F5F2A5D"/>
    <w:rsid w:val="5F6331CC"/>
    <w:rsid w:val="5F6A70E7"/>
    <w:rsid w:val="5F7413ED"/>
    <w:rsid w:val="5F74277E"/>
    <w:rsid w:val="5F771E2C"/>
    <w:rsid w:val="5F817E11"/>
    <w:rsid w:val="5F916B4B"/>
    <w:rsid w:val="5F9C1A78"/>
    <w:rsid w:val="5FA76A91"/>
    <w:rsid w:val="5FBA5EC2"/>
    <w:rsid w:val="5FC57C91"/>
    <w:rsid w:val="5FCE245F"/>
    <w:rsid w:val="5FCE283F"/>
    <w:rsid w:val="5FD32219"/>
    <w:rsid w:val="5FD370E2"/>
    <w:rsid w:val="5FDC1B9B"/>
    <w:rsid w:val="5FF50B7C"/>
    <w:rsid w:val="5FF74A8C"/>
    <w:rsid w:val="5FF80F4A"/>
    <w:rsid w:val="5FFB1252"/>
    <w:rsid w:val="60072412"/>
    <w:rsid w:val="600E0E1E"/>
    <w:rsid w:val="60130301"/>
    <w:rsid w:val="60196F3A"/>
    <w:rsid w:val="603043EF"/>
    <w:rsid w:val="604D59E9"/>
    <w:rsid w:val="6053446B"/>
    <w:rsid w:val="606821BD"/>
    <w:rsid w:val="60830074"/>
    <w:rsid w:val="60870B21"/>
    <w:rsid w:val="608E350A"/>
    <w:rsid w:val="6095223F"/>
    <w:rsid w:val="60A869EE"/>
    <w:rsid w:val="60AA0843"/>
    <w:rsid w:val="60AC0C65"/>
    <w:rsid w:val="60AF3BE9"/>
    <w:rsid w:val="60B751F5"/>
    <w:rsid w:val="60D33850"/>
    <w:rsid w:val="60D770B3"/>
    <w:rsid w:val="60D8190A"/>
    <w:rsid w:val="60DD07BF"/>
    <w:rsid w:val="60E9103E"/>
    <w:rsid w:val="610526AE"/>
    <w:rsid w:val="610C1445"/>
    <w:rsid w:val="611E245A"/>
    <w:rsid w:val="613D1452"/>
    <w:rsid w:val="6143603C"/>
    <w:rsid w:val="61545B6D"/>
    <w:rsid w:val="616C773E"/>
    <w:rsid w:val="61763288"/>
    <w:rsid w:val="61795F3B"/>
    <w:rsid w:val="61945CD8"/>
    <w:rsid w:val="61981920"/>
    <w:rsid w:val="61A335E1"/>
    <w:rsid w:val="61A359FF"/>
    <w:rsid w:val="61B80969"/>
    <w:rsid w:val="61BB0981"/>
    <w:rsid w:val="61BB5C79"/>
    <w:rsid w:val="61BD00F1"/>
    <w:rsid w:val="61C02FF5"/>
    <w:rsid w:val="61D55291"/>
    <w:rsid w:val="61DB6C55"/>
    <w:rsid w:val="61EE19CC"/>
    <w:rsid w:val="61F354C2"/>
    <w:rsid w:val="61FC4A4E"/>
    <w:rsid w:val="6209128F"/>
    <w:rsid w:val="620E5D8A"/>
    <w:rsid w:val="62125083"/>
    <w:rsid w:val="62262E7A"/>
    <w:rsid w:val="6231003C"/>
    <w:rsid w:val="62366488"/>
    <w:rsid w:val="623A430E"/>
    <w:rsid w:val="623B63B7"/>
    <w:rsid w:val="623F4920"/>
    <w:rsid w:val="62494F09"/>
    <w:rsid w:val="624A1B49"/>
    <w:rsid w:val="624E45D8"/>
    <w:rsid w:val="6250617C"/>
    <w:rsid w:val="62520DCA"/>
    <w:rsid w:val="62526C82"/>
    <w:rsid w:val="62616F1F"/>
    <w:rsid w:val="62666F47"/>
    <w:rsid w:val="62690F67"/>
    <w:rsid w:val="627A370F"/>
    <w:rsid w:val="62990512"/>
    <w:rsid w:val="62B25649"/>
    <w:rsid w:val="62BC6E00"/>
    <w:rsid w:val="62C56FE5"/>
    <w:rsid w:val="62C7240E"/>
    <w:rsid w:val="62C90007"/>
    <w:rsid w:val="62CB2B8C"/>
    <w:rsid w:val="62CD5FF7"/>
    <w:rsid w:val="62EA423D"/>
    <w:rsid w:val="630031BE"/>
    <w:rsid w:val="630B732A"/>
    <w:rsid w:val="630E78F0"/>
    <w:rsid w:val="63103FC7"/>
    <w:rsid w:val="63160CAE"/>
    <w:rsid w:val="631652DA"/>
    <w:rsid w:val="631D3111"/>
    <w:rsid w:val="63204A36"/>
    <w:rsid w:val="63250A4F"/>
    <w:rsid w:val="63283C61"/>
    <w:rsid w:val="632E1C39"/>
    <w:rsid w:val="63353938"/>
    <w:rsid w:val="633B5E70"/>
    <w:rsid w:val="635342C2"/>
    <w:rsid w:val="635B4F0A"/>
    <w:rsid w:val="635D125E"/>
    <w:rsid w:val="6361690C"/>
    <w:rsid w:val="636D152D"/>
    <w:rsid w:val="63727389"/>
    <w:rsid w:val="63733461"/>
    <w:rsid w:val="63740D84"/>
    <w:rsid w:val="637E17EA"/>
    <w:rsid w:val="637E3BE7"/>
    <w:rsid w:val="63850E8E"/>
    <w:rsid w:val="63882CEE"/>
    <w:rsid w:val="638C4CDE"/>
    <w:rsid w:val="63905FCF"/>
    <w:rsid w:val="63A20961"/>
    <w:rsid w:val="63A20A78"/>
    <w:rsid w:val="63A853FB"/>
    <w:rsid w:val="63B84681"/>
    <w:rsid w:val="63C75B92"/>
    <w:rsid w:val="63CA29B9"/>
    <w:rsid w:val="63D3253C"/>
    <w:rsid w:val="63D518A3"/>
    <w:rsid w:val="63DB6970"/>
    <w:rsid w:val="63EC6C3A"/>
    <w:rsid w:val="63F34373"/>
    <w:rsid w:val="63F60575"/>
    <w:rsid w:val="63F77FB1"/>
    <w:rsid w:val="63F97961"/>
    <w:rsid w:val="63FE08A4"/>
    <w:rsid w:val="640E3524"/>
    <w:rsid w:val="640F7FA3"/>
    <w:rsid w:val="64102D47"/>
    <w:rsid w:val="64280937"/>
    <w:rsid w:val="64294638"/>
    <w:rsid w:val="642D5F34"/>
    <w:rsid w:val="642F435C"/>
    <w:rsid w:val="64307255"/>
    <w:rsid w:val="643136E1"/>
    <w:rsid w:val="64410116"/>
    <w:rsid w:val="64412FC5"/>
    <w:rsid w:val="644520C4"/>
    <w:rsid w:val="644A77C2"/>
    <w:rsid w:val="6475495F"/>
    <w:rsid w:val="64A37D80"/>
    <w:rsid w:val="64AB2CF9"/>
    <w:rsid w:val="64B44C57"/>
    <w:rsid w:val="64B44DBF"/>
    <w:rsid w:val="64B73716"/>
    <w:rsid w:val="64B83EC8"/>
    <w:rsid w:val="64BD7A01"/>
    <w:rsid w:val="64C97B3D"/>
    <w:rsid w:val="64CD75B9"/>
    <w:rsid w:val="64D85F5A"/>
    <w:rsid w:val="64E96A52"/>
    <w:rsid w:val="64EE07A4"/>
    <w:rsid w:val="64F7096E"/>
    <w:rsid w:val="64FD759D"/>
    <w:rsid w:val="65002A63"/>
    <w:rsid w:val="65003550"/>
    <w:rsid w:val="650345B5"/>
    <w:rsid w:val="65041A55"/>
    <w:rsid w:val="65096401"/>
    <w:rsid w:val="651F1D9A"/>
    <w:rsid w:val="6528351F"/>
    <w:rsid w:val="65296FC8"/>
    <w:rsid w:val="652E40C5"/>
    <w:rsid w:val="653033DC"/>
    <w:rsid w:val="65327258"/>
    <w:rsid w:val="6539735F"/>
    <w:rsid w:val="653F00AD"/>
    <w:rsid w:val="65544D25"/>
    <w:rsid w:val="655C6CD3"/>
    <w:rsid w:val="6566344B"/>
    <w:rsid w:val="656A573C"/>
    <w:rsid w:val="656D3E63"/>
    <w:rsid w:val="65763127"/>
    <w:rsid w:val="65886A1A"/>
    <w:rsid w:val="65893ACB"/>
    <w:rsid w:val="65905186"/>
    <w:rsid w:val="65937E61"/>
    <w:rsid w:val="659E6DB8"/>
    <w:rsid w:val="65A35E61"/>
    <w:rsid w:val="65A62DB8"/>
    <w:rsid w:val="65A97875"/>
    <w:rsid w:val="65B12C47"/>
    <w:rsid w:val="65B22CB3"/>
    <w:rsid w:val="65B867AF"/>
    <w:rsid w:val="65BB367F"/>
    <w:rsid w:val="65CA48D5"/>
    <w:rsid w:val="65DA1825"/>
    <w:rsid w:val="65DC577D"/>
    <w:rsid w:val="65E55DC7"/>
    <w:rsid w:val="660518AD"/>
    <w:rsid w:val="6607611A"/>
    <w:rsid w:val="66112D35"/>
    <w:rsid w:val="662249C7"/>
    <w:rsid w:val="662E458E"/>
    <w:rsid w:val="664F1459"/>
    <w:rsid w:val="6660751B"/>
    <w:rsid w:val="667E1BDC"/>
    <w:rsid w:val="66843C27"/>
    <w:rsid w:val="668A358B"/>
    <w:rsid w:val="66A22294"/>
    <w:rsid w:val="66B167D9"/>
    <w:rsid w:val="66B718F6"/>
    <w:rsid w:val="66B77C96"/>
    <w:rsid w:val="66C6028C"/>
    <w:rsid w:val="66EB255A"/>
    <w:rsid w:val="66F35B25"/>
    <w:rsid w:val="66FA0F0B"/>
    <w:rsid w:val="66FD34E6"/>
    <w:rsid w:val="66FE30D6"/>
    <w:rsid w:val="67087440"/>
    <w:rsid w:val="670B02A7"/>
    <w:rsid w:val="671A5340"/>
    <w:rsid w:val="671B2EF2"/>
    <w:rsid w:val="6732010A"/>
    <w:rsid w:val="6733716B"/>
    <w:rsid w:val="67396278"/>
    <w:rsid w:val="674D7E5D"/>
    <w:rsid w:val="675B6F05"/>
    <w:rsid w:val="675F10E8"/>
    <w:rsid w:val="67665265"/>
    <w:rsid w:val="67721F8C"/>
    <w:rsid w:val="677A3AA5"/>
    <w:rsid w:val="677C0BF7"/>
    <w:rsid w:val="677D2510"/>
    <w:rsid w:val="677E2968"/>
    <w:rsid w:val="6793286F"/>
    <w:rsid w:val="67997714"/>
    <w:rsid w:val="679C54A6"/>
    <w:rsid w:val="679E7A1F"/>
    <w:rsid w:val="67AF466A"/>
    <w:rsid w:val="67AF7478"/>
    <w:rsid w:val="67B36D91"/>
    <w:rsid w:val="67CD4770"/>
    <w:rsid w:val="67DF5131"/>
    <w:rsid w:val="67E0527D"/>
    <w:rsid w:val="67E31422"/>
    <w:rsid w:val="67EA4D75"/>
    <w:rsid w:val="67F01959"/>
    <w:rsid w:val="67F12CC4"/>
    <w:rsid w:val="67F50316"/>
    <w:rsid w:val="67F8136D"/>
    <w:rsid w:val="67FD5E3A"/>
    <w:rsid w:val="680B3317"/>
    <w:rsid w:val="682C3322"/>
    <w:rsid w:val="683407D5"/>
    <w:rsid w:val="683F785C"/>
    <w:rsid w:val="68570DC2"/>
    <w:rsid w:val="6865768E"/>
    <w:rsid w:val="6868422B"/>
    <w:rsid w:val="68756660"/>
    <w:rsid w:val="687B65AE"/>
    <w:rsid w:val="68847A53"/>
    <w:rsid w:val="68910854"/>
    <w:rsid w:val="68A208F6"/>
    <w:rsid w:val="68A864AF"/>
    <w:rsid w:val="68F4740B"/>
    <w:rsid w:val="68FE10A8"/>
    <w:rsid w:val="68FE79AF"/>
    <w:rsid w:val="69012993"/>
    <w:rsid w:val="690220BD"/>
    <w:rsid w:val="69030DDF"/>
    <w:rsid w:val="6912744C"/>
    <w:rsid w:val="69187AE4"/>
    <w:rsid w:val="691B76DD"/>
    <w:rsid w:val="69273460"/>
    <w:rsid w:val="69286F07"/>
    <w:rsid w:val="69336BFC"/>
    <w:rsid w:val="694D0C05"/>
    <w:rsid w:val="694F15B3"/>
    <w:rsid w:val="695276CE"/>
    <w:rsid w:val="69611825"/>
    <w:rsid w:val="696E6A02"/>
    <w:rsid w:val="69797C2C"/>
    <w:rsid w:val="69823C91"/>
    <w:rsid w:val="69826BA8"/>
    <w:rsid w:val="698A1E75"/>
    <w:rsid w:val="6998191E"/>
    <w:rsid w:val="699D3999"/>
    <w:rsid w:val="69B3536F"/>
    <w:rsid w:val="69BB5859"/>
    <w:rsid w:val="69BE0417"/>
    <w:rsid w:val="69BF1493"/>
    <w:rsid w:val="69C5778C"/>
    <w:rsid w:val="69C953F4"/>
    <w:rsid w:val="69D12A83"/>
    <w:rsid w:val="69D15066"/>
    <w:rsid w:val="69DF62ED"/>
    <w:rsid w:val="69E55D04"/>
    <w:rsid w:val="69E71CBB"/>
    <w:rsid w:val="6A041549"/>
    <w:rsid w:val="6A062314"/>
    <w:rsid w:val="6A062F06"/>
    <w:rsid w:val="6A07169A"/>
    <w:rsid w:val="6A1904ED"/>
    <w:rsid w:val="6A252E83"/>
    <w:rsid w:val="6A2B39A2"/>
    <w:rsid w:val="6A2F2A40"/>
    <w:rsid w:val="6A4E63D2"/>
    <w:rsid w:val="6A72023C"/>
    <w:rsid w:val="6A835F76"/>
    <w:rsid w:val="6A892BBB"/>
    <w:rsid w:val="6A9010CD"/>
    <w:rsid w:val="6A934155"/>
    <w:rsid w:val="6A960F65"/>
    <w:rsid w:val="6A977D6C"/>
    <w:rsid w:val="6A981DCD"/>
    <w:rsid w:val="6AA30297"/>
    <w:rsid w:val="6AB638F9"/>
    <w:rsid w:val="6AB71A6D"/>
    <w:rsid w:val="6AE65368"/>
    <w:rsid w:val="6AEF2922"/>
    <w:rsid w:val="6AF317F3"/>
    <w:rsid w:val="6AFF3D73"/>
    <w:rsid w:val="6B0B7BB9"/>
    <w:rsid w:val="6B1444F7"/>
    <w:rsid w:val="6B1C3891"/>
    <w:rsid w:val="6B3B22B9"/>
    <w:rsid w:val="6B3F28EF"/>
    <w:rsid w:val="6B4C5F2C"/>
    <w:rsid w:val="6B561562"/>
    <w:rsid w:val="6B5A2A48"/>
    <w:rsid w:val="6B5C19C0"/>
    <w:rsid w:val="6B620C02"/>
    <w:rsid w:val="6B702C55"/>
    <w:rsid w:val="6B743F45"/>
    <w:rsid w:val="6B792121"/>
    <w:rsid w:val="6B8019CD"/>
    <w:rsid w:val="6B8F7643"/>
    <w:rsid w:val="6B9A4DEC"/>
    <w:rsid w:val="6B9C0D8E"/>
    <w:rsid w:val="6BA4629F"/>
    <w:rsid w:val="6BAA3072"/>
    <w:rsid w:val="6BB4311A"/>
    <w:rsid w:val="6BCE7A05"/>
    <w:rsid w:val="6BD844D6"/>
    <w:rsid w:val="6BE24B28"/>
    <w:rsid w:val="6BEA6208"/>
    <w:rsid w:val="6BFF45AB"/>
    <w:rsid w:val="6C081D85"/>
    <w:rsid w:val="6C0B3C6A"/>
    <w:rsid w:val="6C0B6EFE"/>
    <w:rsid w:val="6C151FEE"/>
    <w:rsid w:val="6C337910"/>
    <w:rsid w:val="6C404FA0"/>
    <w:rsid w:val="6C4B4E38"/>
    <w:rsid w:val="6C5343CE"/>
    <w:rsid w:val="6C5643DD"/>
    <w:rsid w:val="6C6A178A"/>
    <w:rsid w:val="6C7257CE"/>
    <w:rsid w:val="6C727D8C"/>
    <w:rsid w:val="6C7C29A7"/>
    <w:rsid w:val="6C804214"/>
    <w:rsid w:val="6C866650"/>
    <w:rsid w:val="6CAF2677"/>
    <w:rsid w:val="6CB56876"/>
    <w:rsid w:val="6CB569E9"/>
    <w:rsid w:val="6CC419F3"/>
    <w:rsid w:val="6CC469B5"/>
    <w:rsid w:val="6CC52465"/>
    <w:rsid w:val="6CC5648B"/>
    <w:rsid w:val="6CCC3EC6"/>
    <w:rsid w:val="6CCC7BAE"/>
    <w:rsid w:val="6CCD2866"/>
    <w:rsid w:val="6CE97F64"/>
    <w:rsid w:val="6CEB0E2F"/>
    <w:rsid w:val="6CF106AD"/>
    <w:rsid w:val="6CF549E6"/>
    <w:rsid w:val="6CFA1076"/>
    <w:rsid w:val="6CFA777D"/>
    <w:rsid w:val="6D056479"/>
    <w:rsid w:val="6D191CDD"/>
    <w:rsid w:val="6D22611B"/>
    <w:rsid w:val="6D240AF1"/>
    <w:rsid w:val="6D2933D3"/>
    <w:rsid w:val="6D2B774A"/>
    <w:rsid w:val="6D4B2AE7"/>
    <w:rsid w:val="6D563901"/>
    <w:rsid w:val="6D564DD4"/>
    <w:rsid w:val="6D5E77D6"/>
    <w:rsid w:val="6D7454FD"/>
    <w:rsid w:val="6D751B26"/>
    <w:rsid w:val="6D7E1BB3"/>
    <w:rsid w:val="6D967A6A"/>
    <w:rsid w:val="6D98799F"/>
    <w:rsid w:val="6D9919F3"/>
    <w:rsid w:val="6DA31ABE"/>
    <w:rsid w:val="6DB4326F"/>
    <w:rsid w:val="6DB61E3E"/>
    <w:rsid w:val="6DD12A4F"/>
    <w:rsid w:val="6DD63486"/>
    <w:rsid w:val="6DDE66DC"/>
    <w:rsid w:val="6DE62D4F"/>
    <w:rsid w:val="6E000876"/>
    <w:rsid w:val="6E001DCA"/>
    <w:rsid w:val="6E014891"/>
    <w:rsid w:val="6E072568"/>
    <w:rsid w:val="6E097405"/>
    <w:rsid w:val="6E0E1028"/>
    <w:rsid w:val="6E101629"/>
    <w:rsid w:val="6E145A7C"/>
    <w:rsid w:val="6E160D9C"/>
    <w:rsid w:val="6E2C098B"/>
    <w:rsid w:val="6E4662DC"/>
    <w:rsid w:val="6E511E37"/>
    <w:rsid w:val="6E5B554A"/>
    <w:rsid w:val="6E5C7D35"/>
    <w:rsid w:val="6E674912"/>
    <w:rsid w:val="6E6A4764"/>
    <w:rsid w:val="6E7251A5"/>
    <w:rsid w:val="6E746D80"/>
    <w:rsid w:val="6E8C7890"/>
    <w:rsid w:val="6E9821A1"/>
    <w:rsid w:val="6EA2047A"/>
    <w:rsid w:val="6EB02A3D"/>
    <w:rsid w:val="6EB61295"/>
    <w:rsid w:val="6ECE7848"/>
    <w:rsid w:val="6ECE78F2"/>
    <w:rsid w:val="6EDD0E4F"/>
    <w:rsid w:val="6EE45BEF"/>
    <w:rsid w:val="6EEB23CD"/>
    <w:rsid w:val="6EEB289D"/>
    <w:rsid w:val="6EEC2156"/>
    <w:rsid w:val="6EF76E3B"/>
    <w:rsid w:val="6F08121A"/>
    <w:rsid w:val="6F2E4584"/>
    <w:rsid w:val="6F5144F5"/>
    <w:rsid w:val="6F652332"/>
    <w:rsid w:val="6F6B6565"/>
    <w:rsid w:val="6F721BEC"/>
    <w:rsid w:val="6F7826CF"/>
    <w:rsid w:val="6F896002"/>
    <w:rsid w:val="6F8C1763"/>
    <w:rsid w:val="6F8F70CC"/>
    <w:rsid w:val="6F906381"/>
    <w:rsid w:val="6F972CFB"/>
    <w:rsid w:val="6F9A3481"/>
    <w:rsid w:val="6F9A4FCC"/>
    <w:rsid w:val="6F9C1AEB"/>
    <w:rsid w:val="6F9F28E6"/>
    <w:rsid w:val="6F9F2DC4"/>
    <w:rsid w:val="6FAA3674"/>
    <w:rsid w:val="6FB07698"/>
    <w:rsid w:val="6FC07B20"/>
    <w:rsid w:val="6FDB7436"/>
    <w:rsid w:val="6FDC69C2"/>
    <w:rsid w:val="6FDF3A89"/>
    <w:rsid w:val="6FE07F82"/>
    <w:rsid w:val="6FE70801"/>
    <w:rsid w:val="6FEB35BA"/>
    <w:rsid w:val="6FF2376F"/>
    <w:rsid w:val="6FF81393"/>
    <w:rsid w:val="70003C65"/>
    <w:rsid w:val="70005178"/>
    <w:rsid w:val="70052F32"/>
    <w:rsid w:val="70065B25"/>
    <w:rsid w:val="7022547F"/>
    <w:rsid w:val="70296D61"/>
    <w:rsid w:val="70305E41"/>
    <w:rsid w:val="70387BCD"/>
    <w:rsid w:val="704D5C5C"/>
    <w:rsid w:val="70565E69"/>
    <w:rsid w:val="706D4E67"/>
    <w:rsid w:val="708014F1"/>
    <w:rsid w:val="7099331C"/>
    <w:rsid w:val="70A40930"/>
    <w:rsid w:val="70A7716A"/>
    <w:rsid w:val="70AA59AD"/>
    <w:rsid w:val="70B8391A"/>
    <w:rsid w:val="70C278F5"/>
    <w:rsid w:val="70C76086"/>
    <w:rsid w:val="70D55D00"/>
    <w:rsid w:val="70DC06A6"/>
    <w:rsid w:val="70DD4BB8"/>
    <w:rsid w:val="70FF1E43"/>
    <w:rsid w:val="71092536"/>
    <w:rsid w:val="71093815"/>
    <w:rsid w:val="710F3080"/>
    <w:rsid w:val="712251D1"/>
    <w:rsid w:val="713D4302"/>
    <w:rsid w:val="713D52C3"/>
    <w:rsid w:val="7144488E"/>
    <w:rsid w:val="715C0436"/>
    <w:rsid w:val="716213EE"/>
    <w:rsid w:val="7165132D"/>
    <w:rsid w:val="716D18D5"/>
    <w:rsid w:val="71720E78"/>
    <w:rsid w:val="717F4D11"/>
    <w:rsid w:val="71805813"/>
    <w:rsid w:val="7188634B"/>
    <w:rsid w:val="71904773"/>
    <w:rsid w:val="71992AB4"/>
    <w:rsid w:val="719965F1"/>
    <w:rsid w:val="71AB2094"/>
    <w:rsid w:val="71B22835"/>
    <w:rsid w:val="71B81D10"/>
    <w:rsid w:val="71B95C18"/>
    <w:rsid w:val="71BA0B02"/>
    <w:rsid w:val="71BB16C3"/>
    <w:rsid w:val="71BB467B"/>
    <w:rsid w:val="71BD3980"/>
    <w:rsid w:val="71BE5BCC"/>
    <w:rsid w:val="71BF1635"/>
    <w:rsid w:val="71C20D86"/>
    <w:rsid w:val="71C417B3"/>
    <w:rsid w:val="71D012DA"/>
    <w:rsid w:val="71E63697"/>
    <w:rsid w:val="71F723E8"/>
    <w:rsid w:val="7202528F"/>
    <w:rsid w:val="72196F07"/>
    <w:rsid w:val="721C71DD"/>
    <w:rsid w:val="72317074"/>
    <w:rsid w:val="723472E2"/>
    <w:rsid w:val="72357F64"/>
    <w:rsid w:val="72386A0D"/>
    <w:rsid w:val="7252252A"/>
    <w:rsid w:val="72562A15"/>
    <w:rsid w:val="726C5886"/>
    <w:rsid w:val="727205E6"/>
    <w:rsid w:val="727262A0"/>
    <w:rsid w:val="727B396C"/>
    <w:rsid w:val="72806500"/>
    <w:rsid w:val="728511DC"/>
    <w:rsid w:val="728A0199"/>
    <w:rsid w:val="72904C14"/>
    <w:rsid w:val="72A73849"/>
    <w:rsid w:val="72A84BC9"/>
    <w:rsid w:val="72CC0C1E"/>
    <w:rsid w:val="72DC084E"/>
    <w:rsid w:val="72E45B67"/>
    <w:rsid w:val="72F7152C"/>
    <w:rsid w:val="72FA1ED6"/>
    <w:rsid w:val="72FE21A1"/>
    <w:rsid w:val="73096143"/>
    <w:rsid w:val="73124BBA"/>
    <w:rsid w:val="732C3B50"/>
    <w:rsid w:val="73354371"/>
    <w:rsid w:val="733C27F4"/>
    <w:rsid w:val="733D3183"/>
    <w:rsid w:val="73432F84"/>
    <w:rsid w:val="734453F6"/>
    <w:rsid w:val="73451B02"/>
    <w:rsid w:val="73463681"/>
    <w:rsid w:val="734D4E6B"/>
    <w:rsid w:val="735C71B3"/>
    <w:rsid w:val="7374494E"/>
    <w:rsid w:val="737816A8"/>
    <w:rsid w:val="737C58BE"/>
    <w:rsid w:val="737E55D6"/>
    <w:rsid w:val="737E7075"/>
    <w:rsid w:val="73937D3A"/>
    <w:rsid w:val="73A31C75"/>
    <w:rsid w:val="73AE3CBE"/>
    <w:rsid w:val="73AF49BD"/>
    <w:rsid w:val="73C31EC7"/>
    <w:rsid w:val="73CD7CF6"/>
    <w:rsid w:val="73D66539"/>
    <w:rsid w:val="73DE20E5"/>
    <w:rsid w:val="73E154A0"/>
    <w:rsid w:val="73E56CB3"/>
    <w:rsid w:val="73EF795C"/>
    <w:rsid w:val="73F641AB"/>
    <w:rsid w:val="73F92E98"/>
    <w:rsid w:val="740E2030"/>
    <w:rsid w:val="74144EA0"/>
    <w:rsid w:val="741474A6"/>
    <w:rsid w:val="741D661B"/>
    <w:rsid w:val="741E6193"/>
    <w:rsid w:val="74291CE9"/>
    <w:rsid w:val="742A3BDB"/>
    <w:rsid w:val="74347BB6"/>
    <w:rsid w:val="743A3D1F"/>
    <w:rsid w:val="744426E2"/>
    <w:rsid w:val="745466A7"/>
    <w:rsid w:val="74601BD6"/>
    <w:rsid w:val="74750914"/>
    <w:rsid w:val="74785503"/>
    <w:rsid w:val="74822038"/>
    <w:rsid w:val="74830D5C"/>
    <w:rsid w:val="748322C2"/>
    <w:rsid w:val="748C29E9"/>
    <w:rsid w:val="749E3408"/>
    <w:rsid w:val="74A60988"/>
    <w:rsid w:val="74AB4551"/>
    <w:rsid w:val="74B94487"/>
    <w:rsid w:val="74C64023"/>
    <w:rsid w:val="74D34A2A"/>
    <w:rsid w:val="74E0285E"/>
    <w:rsid w:val="74E41E18"/>
    <w:rsid w:val="74EE7A3F"/>
    <w:rsid w:val="74F4751F"/>
    <w:rsid w:val="74F94A87"/>
    <w:rsid w:val="74F97E05"/>
    <w:rsid w:val="75010FAB"/>
    <w:rsid w:val="751968C4"/>
    <w:rsid w:val="752341C1"/>
    <w:rsid w:val="755172C5"/>
    <w:rsid w:val="755529D0"/>
    <w:rsid w:val="7567351D"/>
    <w:rsid w:val="75692C6E"/>
    <w:rsid w:val="757C1012"/>
    <w:rsid w:val="759B6AFB"/>
    <w:rsid w:val="759E4EA7"/>
    <w:rsid w:val="75A10E22"/>
    <w:rsid w:val="75C068A9"/>
    <w:rsid w:val="75CC0E61"/>
    <w:rsid w:val="75CE0374"/>
    <w:rsid w:val="75D769A5"/>
    <w:rsid w:val="75DB4086"/>
    <w:rsid w:val="75DF68BB"/>
    <w:rsid w:val="75E417B2"/>
    <w:rsid w:val="75EF6F95"/>
    <w:rsid w:val="75F4218D"/>
    <w:rsid w:val="76132FE4"/>
    <w:rsid w:val="761E3F90"/>
    <w:rsid w:val="762239BB"/>
    <w:rsid w:val="762A014F"/>
    <w:rsid w:val="76301DC9"/>
    <w:rsid w:val="763656E0"/>
    <w:rsid w:val="763C3EA3"/>
    <w:rsid w:val="76400507"/>
    <w:rsid w:val="764440D9"/>
    <w:rsid w:val="765C674B"/>
    <w:rsid w:val="7663578F"/>
    <w:rsid w:val="768E55DA"/>
    <w:rsid w:val="769F6C8C"/>
    <w:rsid w:val="76A0160E"/>
    <w:rsid w:val="76A54445"/>
    <w:rsid w:val="76BD097A"/>
    <w:rsid w:val="76C44FAF"/>
    <w:rsid w:val="76C5396B"/>
    <w:rsid w:val="76CE25D0"/>
    <w:rsid w:val="76D64223"/>
    <w:rsid w:val="76E30140"/>
    <w:rsid w:val="76E61D96"/>
    <w:rsid w:val="76EB730E"/>
    <w:rsid w:val="76F33325"/>
    <w:rsid w:val="76F63E3A"/>
    <w:rsid w:val="76F754DC"/>
    <w:rsid w:val="77363120"/>
    <w:rsid w:val="775F3709"/>
    <w:rsid w:val="77673DCE"/>
    <w:rsid w:val="777A7A3E"/>
    <w:rsid w:val="777C2047"/>
    <w:rsid w:val="777E72EB"/>
    <w:rsid w:val="778210F4"/>
    <w:rsid w:val="77837BFC"/>
    <w:rsid w:val="77872A68"/>
    <w:rsid w:val="778963A8"/>
    <w:rsid w:val="7795400E"/>
    <w:rsid w:val="779B62EB"/>
    <w:rsid w:val="77A45D40"/>
    <w:rsid w:val="77A95C32"/>
    <w:rsid w:val="77AB005F"/>
    <w:rsid w:val="77AB1F47"/>
    <w:rsid w:val="77B63286"/>
    <w:rsid w:val="77D55C5A"/>
    <w:rsid w:val="77D719C1"/>
    <w:rsid w:val="77D97597"/>
    <w:rsid w:val="77E17B5D"/>
    <w:rsid w:val="77F4062E"/>
    <w:rsid w:val="77F6205B"/>
    <w:rsid w:val="77F8029D"/>
    <w:rsid w:val="780D0AF4"/>
    <w:rsid w:val="78106987"/>
    <w:rsid w:val="781B54E5"/>
    <w:rsid w:val="78260A22"/>
    <w:rsid w:val="783212C7"/>
    <w:rsid w:val="78324765"/>
    <w:rsid w:val="783B622A"/>
    <w:rsid w:val="783D34F5"/>
    <w:rsid w:val="783E4240"/>
    <w:rsid w:val="784063F8"/>
    <w:rsid w:val="784D0357"/>
    <w:rsid w:val="78555C36"/>
    <w:rsid w:val="785B044D"/>
    <w:rsid w:val="785F7AC3"/>
    <w:rsid w:val="78617FD5"/>
    <w:rsid w:val="78854964"/>
    <w:rsid w:val="788F6B73"/>
    <w:rsid w:val="78981E14"/>
    <w:rsid w:val="78A16DC0"/>
    <w:rsid w:val="78A64E78"/>
    <w:rsid w:val="78A81C0C"/>
    <w:rsid w:val="78BC4079"/>
    <w:rsid w:val="78BF6574"/>
    <w:rsid w:val="78CB79FF"/>
    <w:rsid w:val="78D163F7"/>
    <w:rsid w:val="78D72EE7"/>
    <w:rsid w:val="78DD52D7"/>
    <w:rsid w:val="78EB582C"/>
    <w:rsid w:val="78EC4EB8"/>
    <w:rsid w:val="78F04942"/>
    <w:rsid w:val="78F41573"/>
    <w:rsid w:val="78F51C92"/>
    <w:rsid w:val="78F72BFD"/>
    <w:rsid w:val="78FC5DA2"/>
    <w:rsid w:val="78FF404E"/>
    <w:rsid w:val="78FF5438"/>
    <w:rsid w:val="78FF75C8"/>
    <w:rsid w:val="790A5D98"/>
    <w:rsid w:val="790C504D"/>
    <w:rsid w:val="790D76E0"/>
    <w:rsid w:val="79137033"/>
    <w:rsid w:val="7914182E"/>
    <w:rsid w:val="7915512C"/>
    <w:rsid w:val="793C1FC0"/>
    <w:rsid w:val="79486213"/>
    <w:rsid w:val="794E1E8C"/>
    <w:rsid w:val="794E6DA1"/>
    <w:rsid w:val="795718DC"/>
    <w:rsid w:val="795A7853"/>
    <w:rsid w:val="79625528"/>
    <w:rsid w:val="7963001B"/>
    <w:rsid w:val="796411F3"/>
    <w:rsid w:val="796528F1"/>
    <w:rsid w:val="79782668"/>
    <w:rsid w:val="797D7C7B"/>
    <w:rsid w:val="798473C1"/>
    <w:rsid w:val="798D0CB1"/>
    <w:rsid w:val="79A86E7D"/>
    <w:rsid w:val="79A917D5"/>
    <w:rsid w:val="79F866D7"/>
    <w:rsid w:val="7A0D5030"/>
    <w:rsid w:val="7A1D04F8"/>
    <w:rsid w:val="7A1F0B92"/>
    <w:rsid w:val="7A2F0FE2"/>
    <w:rsid w:val="7A2F6A25"/>
    <w:rsid w:val="7A320603"/>
    <w:rsid w:val="7A375628"/>
    <w:rsid w:val="7A3B0D02"/>
    <w:rsid w:val="7A3C0448"/>
    <w:rsid w:val="7A462225"/>
    <w:rsid w:val="7A4B1579"/>
    <w:rsid w:val="7A4E44E1"/>
    <w:rsid w:val="7A560120"/>
    <w:rsid w:val="7A6341A0"/>
    <w:rsid w:val="7A644184"/>
    <w:rsid w:val="7A9B085A"/>
    <w:rsid w:val="7A9B6D29"/>
    <w:rsid w:val="7A9F5588"/>
    <w:rsid w:val="7AAF3A90"/>
    <w:rsid w:val="7AB01D8D"/>
    <w:rsid w:val="7ABE4F6D"/>
    <w:rsid w:val="7ABF15A2"/>
    <w:rsid w:val="7AC8595C"/>
    <w:rsid w:val="7ACC7622"/>
    <w:rsid w:val="7AD83D61"/>
    <w:rsid w:val="7AD8638B"/>
    <w:rsid w:val="7AE04EF0"/>
    <w:rsid w:val="7AE35C80"/>
    <w:rsid w:val="7AE66DF9"/>
    <w:rsid w:val="7AE9138D"/>
    <w:rsid w:val="7AF30762"/>
    <w:rsid w:val="7AF5755C"/>
    <w:rsid w:val="7B0831DB"/>
    <w:rsid w:val="7B127C9A"/>
    <w:rsid w:val="7B132239"/>
    <w:rsid w:val="7B14085D"/>
    <w:rsid w:val="7B215172"/>
    <w:rsid w:val="7B21591B"/>
    <w:rsid w:val="7B3525E5"/>
    <w:rsid w:val="7B3B4883"/>
    <w:rsid w:val="7B4868F2"/>
    <w:rsid w:val="7B4F6860"/>
    <w:rsid w:val="7B616B8F"/>
    <w:rsid w:val="7B6318CD"/>
    <w:rsid w:val="7B77268D"/>
    <w:rsid w:val="7B7D6711"/>
    <w:rsid w:val="7B7F209E"/>
    <w:rsid w:val="7B854D5B"/>
    <w:rsid w:val="7B990D55"/>
    <w:rsid w:val="7B9D1C0D"/>
    <w:rsid w:val="7BA521B3"/>
    <w:rsid w:val="7BAF270A"/>
    <w:rsid w:val="7BB4250E"/>
    <w:rsid w:val="7BBE34FB"/>
    <w:rsid w:val="7BC27BB4"/>
    <w:rsid w:val="7BCE26A5"/>
    <w:rsid w:val="7BE305B2"/>
    <w:rsid w:val="7BE7137F"/>
    <w:rsid w:val="7BF06EC0"/>
    <w:rsid w:val="7BF333D1"/>
    <w:rsid w:val="7C036F42"/>
    <w:rsid w:val="7C18182D"/>
    <w:rsid w:val="7C1C50AC"/>
    <w:rsid w:val="7C1E48E8"/>
    <w:rsid w:val="7C270240"/>
    <w:rsid w:val="7C302A72"/>
    <w:rsid w:val="7C3D63E5"/>
    <w:rsid w:val="7C6762E3"/>
    <w:rsid w:val="7C6F2369"/>
    <w:rsid w:val="7C8A0A6B"/>
    <w:rsid w:val="7C8C2941"/>
    <w:rsid w:val="7C8C4745"/>
    <w:rsid w:val="7C930BAE"/>
    <w:rsid w:val="7CBF7665"/>
    <w:rsid w:val="7CBF7924"/>
    <w:rsid w:val="7CCB2B42"/>
    <w:rsid w:val="7CDF2E23"/>
    <w:rsid w:val="7CFC37A3"/>
    <w:rsid w:val="7D0522E0"/>
    <w:rsid w:val="7D176CD4"/>
    <w:rsid w:val="7D18193F"/>
    <w:rsid w:val="7D316BAB"/>
    <w:rsid w:val="7D377A61"/>
    <w:rsid w:val="7D3C36D7"/>
    <w:rsid w:val="7D4E6D0D"/>
    <w:rsid w:val="7D547A3C"/>
    <w:rsid w:val="7D6D7F9D"/>
    <w:rsid w:val="7D737ECC"/>
    <w:rsid w:val="7D7F4D51"/>
    <w:rsid w:val="7D825711"/>
    <w:rsid w:val="7D8354C7"/>
    <w:rsid w:val="7D941C0F"/>
    <w:rsid w:val="7DAB67A3"/>
    <w:rsid w:val="7DB44B27"/>
    <w:rsid w:val="7DB82B5F"/>
    <w:rsid w:val="7DBF30E5"/>
    <w:rsid w:val="7DC92892"/>
    <w:rsid w:val="7DD3555C"/>
    <w:rsid w:val="7DDA2A5B"/>
    <w:rsid w:val="7DDC1687"/>
    <w:rsid w:val="7DDC5561"/>
    <w:rsid w:val="7DE53A1D"/>
    <w:rsid w:val="7DE805EC"/>
    <w:rsid w:val="7DEE1D9E"/>
    <w:rsid w:val="7DFB2768"/>
    <w:rsid w:val="7E0B1ECA"/>
    <w:rsid w:val="7E0D1655"/>
    <w:rsid w:val="7E0E4C52"/>
    <w:rsid w:val="7E180D00"/>
    <w:rsid w:val="7E1A5F33"/>
    <w:rsid w:val="7E1B1677"/>
    <w:rsid w:val="7E1B4DBE"/>
    <w:rsid w:val="7E25635C"/>
    <w:rsid w:val="7E2F779A"/>
    <w:rsid w:val="7E343D3D"/>
    <w:rsid w:val="7E3B0F1A"/>
    <w:rsid w:val="7E4C0278"/>
    <w:rsid w:val="7E5426EF"/>
    <w:rsid w:val="7E554F28"/>
    <w:rsid w:val="7E582A5A"/>
    <w:rsid w:val="7E5D5401"/>
    <w:rsid w:val="7E62359D"/>
    <w:rsid w:val="7E705793"/>
    <w:rsid w:val="7E8209B3"/>
    <w:rsid w:val="7E851695"/>
    <w:rsid w:val="7E865444"/>
    <w:rsid w:val="7E970A59"/>
    <w:rsid w:val="7E9E66E4"/>
    <w:rsid w:val="7EA845E3"/>
    <w:rsid w:val="7EAF7104"/>
    <w:rsid w:val="7EB270C2"/>
    <w:rsid w:val="7EC1307B"/>
    <w:rsid w:val="7ECB20C5"/>
    <w:rsid w:val="7ED9614C"/>
    <w:rsid w:val="7EDE502B"/>
    <w:rsid w:val="7EEC2601"/>
    <w:rsid w:val="7F0E419C"/>
    <w:rsid w:val="7F1A430A"/>
    <w:rsid w:val="7F1A7380"/>
    <w:rsid w:val="7F1A7D15"/>
    <w:rsid w:val="7F1B6A1F"/>
    <w:rsid w:val="7F1C3521"/>
    <w:rsid w:val="7F1E4033"/>
    <w:rsid w:val="7F2C2C1A"/>
    <w:rsid w:val="7F341C62"/>
    <w:rsid w:val="7F497E6B"/>
    <w:rsid w:val="7F5C2611"/>
    <w:rsid w:val="7F5D1468"/>
    <w:rsid w:val="7F6652E2"/>
    <w:rsid w:val="7F721CC2"/>
    <w:rsid w:val="7F7815B7"/>
    <w:rsid w:val="7F7C5084"/>
    <w:rsid w:val="7F8D6516"/>
    <w:rsid w:val="7F9075B7"/>
    <w:rsid w:val="7F9614FF"/>
    <w:rsid w:val="7F9C2851"/>
    <w:rsid w:val="7F9C3B32"/>
    <w:rsid w:val="7FB67374"/>
    <w:rsid w:val="7FC00AC8"/>
    <w:rsid w:val="7FCB421A"/>
    <w:rsid w:val="7FCF058D"/>
    <w:rsid w:val="7FD25D7C"/>
    <w:rsid w:val="7FDE5C9E"/>
    <w:rsid w:val="7FE655FC"/>
    <w:rsid w:val="7FE677B0"/>
    <w:rsid w:val="7FEC5D8C"/>
    <w:rsid w:val="7FFC65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1"/>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2"/>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24"/>
      <w:szCs w:val="32"/>
      <w:lang w:val="en-GB"/>
    </w:rPr>
  </w:style>
  <w:style w:type="paragraph" w:styleId="4">
    <w:name w:val="heading 3"/>
    <w:basedOn w:val="3"/>
    <w:next w:val="1"/>
    <w:link w:val="73"/>
    <w:qFormat/>
    <w:uiPriority w:val="0"/>
    <w:pPr>
      <w:numPr>
        <w:ilvl w:val="2"/>
      </w:numPr>
      <w:tabs>
        <w:tab w:val="clear" w:pos="575"/>
      </w:tabs>
      <w:spacing w:before="260" w:after="260" w:line="416" w:lineRule="auto"/>
      <w:outlineLvl w:val="2"/>
    </w:pPr>
    <w:rPr>
      <w:b/>
      <w:bCs/>
    </w:rPr>
  </w:style>
  <w:style w:type="paragraph" w:styleId="5">
    <w:name w:val="heading 4"/>
    <w:basedOn w:val="4"/>
    <w:next w:val="1"/>
    <w:link w:val="74"/>
    <w:qFormat/>
    <w:uiPriority w:val="0"/>
    <w:pPr>
      <w:tabs>
        <w:tab w:val="left" w:pos="864"/>
        <w:tab w:val="left" w:pos="2071"/>
      </w:tabs>
      <w:spacing w:before="280" w:after="290" w:line="372" w:lineRule="auto"/>
      <w:ind w:left="1884" w:hanging="528"/>
      <w:outlineLvl w:val="3"/>
    </w:pPr>
    <w:rPr>
      <w:rFonts w:eastAsia="黑体"/>
      <w:sz w:val="28"/>
    </w:rPr>
  </w:style>
  <w:style w:type="paragraph" w:styleId="6">
    <w:name w:val="heading 5"/>
    <w:basedOn w:val="5"/>
    <w:next w:val="1"/>
    <w:link w:val="75"/>
    <w:qFormat/>
    <w:uiPriority w:val="0"/>
    <w:pPr>
      <w:keepNext/>
      <w:keepLines/>
      <w:tabs>
        <w:tab w:val="left" w:pos="1008"/>
        <w:tab w:val="left" w:pos="2383"/>
        <w:tab w:val="clear" w:pos="864"/>
        <w:tab w:val="clear" w:pos="2071"/>
      </w:tabs>
      <w:spacing w:before="280" w:after="290" w:line="372" w:lineRule="auto"/>
      <w:ind w:left="2196" w:hanging="528"/>
      <w:outlineLvl w:val="4"/>
    </w:pPr>
    <w:rPr>
      <w:sz w:val="28"/>
    </w:rPr>
  </w:style>
  <w:style w:type="paragraph" w:styleId="7">
    <w:name w:val="heading 6"/>
    <w:basedOn w:val="1"/>
    <w:next w:val="1"/>
    <w:link w:val="76"/>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7"/>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8"/>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9"/>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widowControl/>
      <w:spacing w:before="40"/>
      <w:ind w:left="849" w:hanging="283"/>
      <w:jc w:val="left"/>
    </w:pPr>
    <w:rPr>
      <w:rFonts w:ascii="Arial" w:hAnsi="Arial" w:eastAsia="MS Mincho"/>
      <w:kern w:val="0"/>
      <w:sz w:val="20"/>
      <w:lang w:val="en-GB" w:eastAsia="en-GB"/>
    </w:rPr>
  </w:style>
  <w:style w:type="paragraph" w:styleId="12">
    <w:name w:val="List 2"/>
    <w:basedOn w:val="13"/>
    <w:unhideWhenUsed/>
    <w:qFormat/>
    <w:uiPriority w:val="0"/>
    <w:pPr>
      <w:ind w:left="100" w:leftChars="200"/>
    </w:pPr>
  </w:style>
  <w:style w:type="paragraph" w:styleId="13">
    <w:name w:val="List"/>
    <w:basedOn w:val="1"/>
    <w:unhideWhenUsed/>
    <w:qFormat/>
    <w:uiPriority w:val="0"/>
    <w:pPr>
      <w:ind w:left="200" w:hanging="200" w:hangingChars="200"/>
      <w:contextualSpacing/>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3"/>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7">
    <w:name w:val="List Bullet 4"/>
    <w:basedOn w:val="18"/>
    <w:qFormat/>
    <w:uiPriority w:val="0"/>
    <w:pPr>
      <w:tabs>
        <w:tab w:val="left" w:pos="360"/>
        <w:tab w:val="left" w:pos="1259"/>
      </w:tabs>
      <w:ind w:left="1418"/>
    </w:pPr>
  </w:style>
  <w:style w:type="paragraph" w:styleId="18">
    <w:name w:val="List Bullet 3"/>
    <w:basedOn w:val="19"/>
    <w:qFormat/>
    <w:uiPriority w:val="0"/>
    <w:pPr>
      <w:tabs>
        <w:tab w:val="left" w:pos="360"/>
        <w:tab w:val="left" w:pos="1259"/>
      </w:tabs>
      <w:ind w:left="1135"/>
    </w:pPr>
  </w:style>
  <w:style w:type="paragraph" w:styleId="19">
    <w:name w:val="List Bullet 2"/>
    <w:basedOn w:val="20"/>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0">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1">
    <w:name w:val="index 8"/>
    <w:basedOn w:val="1"/>
    <w:next w:val="1"/>
    <w:qFormat/>
    <w:uiPriority w:val="0"/>
    <w:pPr>
      <w:ind w:left="1680" w:hanging="210"/>
      <w:jc w:val="left"/>
    </w:pPr>
    <w:rPr>
      <w:rFonts w:ascii="Calibri" w:hAnsi="Calibri"/>
      <w:sz w:val="20"/>
      <w:szCs w:val="20"/>
    </w:rPr>
  </w:style>
  <w:style w:type="paragraph" w:styleId="22">
    <w:name w:val="caption"/>
    <w:basedOn w:val="1"/>
    <w:next w:val="1"/>
    <w:link w:val="89"/>
    <w:qFormat/>
    <w:uiPriority w:val="0"/>
    <w:pPr>
      <w:spacing w:before="152"/>
    </w:pPr>
    <w:rPr>
      <w:rFonts w:ascii="Arial" w:hAnsi="Arial" w:eastAsia="黑体" w:cs="Arial"/>
      <w:sz w:val="20"/>
      <w:szCs w:val="20"/>
    </w:rPr>
  </w:style>
  <w:style w:type="paragraph" w:styleId="23">
    <w:name w:val="index 5"/>
    <w:basedOn w:val="1"/>
    <w:next w:val="1"/>
    <w:qFormat/>
    <w:uiPriority w:val="0"/>
    <w:pPr>
      <w:ind w:left="1050" w:hanging="210"/>
      <w:jc w:val="left"/>
    </w:pPr>
    <w:rPr>
      <w:rFonts w:ascii="Calibri" w:hAnsi="Calibri"/>
      <w:sz w:val="20"/>
      <w:szCs w:val="20"/>
    </w:rPr>
  </w:style>
  <w:style w:type="paragraph" w:styleId="24">
    <w:name w:val="Document Map"/>
    <w:basedOn w:val="1"/>
    <w:link w:val="70"/>
    <w:unhideWhenUsed/>
    <w:qFormat/>
    <w:uiPriority w:val="0"/>
    <w:rPr>
      <w:rFonts w:ascii="宋体"/>
      <w:sz w:val="18"/>
      <w:szCs w:val="18"/>
    </w:rPr>
  </w:style>
  <w:style w:type="paragraph" w:styleId="25">
    <w:name w:val="annotation text"/>
    <w:basedOn w:val="1"/>
    <w:link w:val="175"/>
    <w:unhideWhenUsed/>
    <w:qFormat/>
    <w:uiPriority w:val="0"/>
    <w:pPr>
      <w:jc w:val="left"/>
    </w:p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7"/>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8"/>
    <w:unhideWhenUsed/>
    <w:qFormat/>
    <w:uiPriority w:val="0"/>
    <w:rPr>
      <w:sz w:val="18"/>
      <w:szCs w:val="18"/>
    </w:rPr>
  </w:style>
  <w:style w:type="paragraph" w:styleId="37">
    <w:name w:val="footer"/>
    <w:basedOn w:val="38"/>
    <w:link w:val="112"/>
    <w:qFormat/>
    <w:uiPriority w:val="99"/>
    <w:pPr>
      <w:tabs>
        <w:tab w:val="center" w:pos="4153"/>
        <w:tab w:val="right" w:pos="8306"/>
      </w:tabs>
      <w:snapToGrid w:val="0"/>
      <w:jc w:val="left"/>
    </w:pPr>
    <w:rPr>
      <w:sz w:val="18"/>
      <w:szCs w:val="18"/>
    </w:r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5"/>
    <w:next w:val="25"/>
    <w:link w:val="91"/>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paragraph" w:customStyle="1" w:styleId="66">
    <w:name w:val="Doc-title"/>
    <w:basedOn w:val="1"/>
    <w:next w:val="67"/>
    <w:link w:val="110"/>
    <w:qFormat/>
    <w:uiPriority w:val="0"/>
    <w:pPr>
      <w:widowControl/>
      <w:ind w:left="1260" w:hanging="1260"/>
      <w:jc w:val="left"/>
    </w:pPr>
    <w:rPr>
      <w:rFonts w:ascii="Arial" w:hAnsi="Arial" w:eastAsia="MS Mincho"/>
      <w:kern w:val="0"/>
      <w:sz w:val="20"/>
      <w:lang w:val="en-GB" w:eastAsia="en-GB"/>
    </w:rPr>
  </w:style>
  <w:style w:type="paragraph" w:customStyle="1" w:styleId="67">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68">
    <w:name w:val="Balloon Text Char"/>
    <w:basedOn w:val="58"/>
    <w:link w:val="36"/>
    <w:qFormat/>
    <w:uiPriority w:val="0"/>
    <w:rPr>
      <w:kern w:val="2"/>
      <w:sz w:val="18"/>
      <w:szCs w:val="18"/>
    </w:rPr>
  </w:style>
  <w:style w:type="paragraph" w:customStyle="1" w:styleId="69">
    <w:name w:val="列出段落1"/>
    <w:basedOn w:val="1"/>
    <w:link w:val="272"/>
    <w:unhideWhenUsed/>
    <w:qFormat/>
    <w:uiPriority w:val="99"/>
    <w:pPr>
      <w:ind w:firstLine="420" w:firstLineChars="200"/>
    </w:pPr>
  </w:style>
  <w:style w:type="character" w:customStyle="1" w:styleId="70">
    <w:name w:val="Document Map Char"/>
    <w:basedOn w:val="58"/>
    <w:link w:val="24"/>
    <w:qFormat/>
    <w:uiPriority w:val="0"/>
    <w:rPr>
      <w:rFonts w:ascii="宋体"/>
      <w:kern w:val="2"/>
      <w:sz w:val="18"/>
      <w:szCs w:val="18"/>
    </w:rPr>
  </w:style>
  <w:style w:type="character" w:customStyle="1" w:styleId="71">
    <w:name w:val="Heading 1 Char"/>
    <w:basedOn w:val="58"/>
    <w:link w:val="2"/>
    <w:qFormat/>
    <w:uiPriority w:val="0"/>
    <w:rPr>
      <w:b/>
      <w:bCs/>
      <w:kern w:val="44"/>
      <w:sz w:val="44"/>
      <w:szCs w:val="44"/>
    </w:rPr>
  </w:style>
  <w:style w:type="character" w:customStyle="1" w:styleId="72">
    <w:name w:val="Heading 2 Char"/>
    <w:basedOn w:val="58"/>
    <w:link w:val="3"/>
    <w:qFormat/>
    <w:uiPriority w:val="0"/>
    <w:rPr>
      <w:rFonts w:ascii="Arial" w:hAnsi="Arial" w:eastAsia="MS Mincho"/>
      <w:sz w:val="24"/>
      <w:szCs w:val="32"/>
      <w:lang w:val="en-GB"/>
    </w:rPr>
  </w:style>
  <w:style w:type="character" w:customStyle="1" w:styleId="73">
    <w:name w:val="Heading 3 Char"/>
    <w:basedOn w:val="58"/>
    <w:link w:val="4"/>
    <w:qFormat/>
    <w:uiPriority w:val="0"/>
    <w:rPr>
      <w:b/>
      <w:bCs/>
      <w:kern w:val="2"/>
      <w:sz w:val="32"/>
      <w:szCs w:val="32"/>
    </w:rPr>
  </w:style>
  <w:style w:type="character" w:customStyle="1" w:styleId="74">
    <w:name w:val="Heading 4 Char"/>
    <w:basedOn w:val="58"/>
    <w:link w:val="5"/>
    <w:qFormat/>
    <w:uiPriority w:val="0"/>
    <w:rPr>
      <w:rFonts w:ascii="Arial" w:hAnsi="Arial" w:eastAsia="黑体"/>
      <w:b/>
      <w:kern w:val="2"/>
      <w:sz w:val="28"/>
      <w:szCs w:val="24"/>
    </w:rPr>
  </w:style>
  <w:style w:type="character" w:customStyle="1" w:styleId="75">
    <w:name w:val="Heading 5 Char"/>
    <w:basedOn w:val="58"/>
    <w:link w:val="6"/>
    <w:qFormat/>
    <w:uiPriority w:val="0"/>
    <w:rPr>
      <w:b/>
      <w:kern w:val="2"/>
      <w:sz w:val="28"/>
      <w:szCs w:val="24"/>
    </w:rPr>
  </w:style>
  <w:style w:type="character" w:customStyle="1" w:styleId="76">
    <w:name w:val="Heading 6 Char"/>
    <w:basedOn w:val="58"/>
    <w:link w:val="7"/>
    <w:qFormat/>
    <w:uiPriority w:val="0"/>
    <w:rPr>
      <w:rFonts w:ascii="Arial" w:hAnsi="Arial" w:eastAsia="黑体"/>
      <w:b/>
      <w:kern w:val="2"/>
      <w:sz w:val="24"/>
      <w:szCs w:val="24"/>
    </w:rPr>
  </w:style>
  <w:style w:type="character" w:customStyle="1" w:styleId="77">
    <w:name w:val="Heading 7 Char"/>
    <w:basedOn w:val="58"/>
    <w:link w:val="8"/>
    <w:qFormat/>
    <w:uiPriority w:val="0"/>
    <w:rPr>
      <w:b/>
      <w:kern w:val="2"/>
      <w:sz w:val="24"/>
      <w:szCs w:val="24"/>
    </w:rPr>
  </w:style>
  <w:style w:type="character" w:customStyle="1" w:styleId="78">
    <w:name w:val="Heading 8 Char"/>
    <w:basedOn w:val="58"/>
    <w:link w:val="9"/>
    <w:qFormat/>
    <w:uiPriority w:val="0"/>
    <w:rPr>
      <w:rFonts w:ascii="Arial" w:hAnsi="Arial" w:eastAsia="黑体"/>
      <w:kern w:val="2"/>
      <w:sz w:val="24"/>
      <w:szCs w:val="24"/>
    </w:rPr>
  </w:style>
  <w:style w:type="character" w:customStyle="1" w:styleId="79">
    <w:name w:val="Heading 9 Char"/>
    <w:basedOn w:val="58"/>
    <w:link w:val="10"/>
    <w:qFormat/>
    <w:uiPriority w:val="0"/>
    <w:rPr>
      <w:rFonts w:ascii="Arial" w:hAnsi="Arial" w:eastAsia="黑体"/>
      <w:kern w:val="2"/>
      <w:sz w:val="21"/>
      <w:szCs w:val="24"/>
    </w:rPr>
  </w:style>
  <w:style w:type="character" w:customStyle="1" w:styleId="80">
    <w:name w:val="Char Char5"/>
    <w:qFormat/>
    <w:uiPriority w:val="0"/>
    <w:rPr>
      <w:rFonts w:ascii="Arial" w:hAnsi="Arial" w:eastAsia="MS Mincho" w:cs="Arial"/>
      <w:bCs/>
      <w:sz w:val="24"/>
      <w:szCs w:val="28"/>
      <w:lang w:val="en-GB" w:eastAsia="en-GB" w:bidi="ar-SA"/>
    </w:rPr>
  </w:style>
  <w:style w:type="character" w:customStyle="1" w:styleId="81">
    <w:name w:val="ComeBack Char Char"/>
    <w:basedOn w:val="82"/>
    <w:link w:val="83"/>
    <w:qFormat/>
    <w:uiPriority w:val="0"/>
    <w:rPr>
      <w:rFonts w:ascii="Arial" w:hAnsi="Arial" w:eastAsia="MS Mincho"/>
      <w:szCs w:val="24"/>
      <w:lang w:val="en-GB" w:eastAsia="en-GB" w:bidi="ar-SA"/>
    </w:rPr>
  </w:style>
  <w:style w:type="character" w:customStyle="1" w:styleId="82">
    <w:name w:val="Doc-text2 Char"/>
    <w:qFormat/>
    <w:uiPriority w:val="0"/>
    <w:rPr>
      <w:rFonts w:ascii="Arial" w:hAnsi="Arial" w:eastAsia="MS Mincho"/>
      <w:szCs w:val="24"/>
      <w:lang w:val="en-GB" w:eastAsia="en-GB" w:bidi="ar-SA"/>
    </w:rPr>
  </w:style>
  <w:style w:type="paragraph" w:customStyle="1" w:styleId="83">
    <w:name w:val="ComeBack"/>
    <w:basedOn w:val="67"/>
    <w:next w:val="67"/>
    <w:link w:val="81"/>
    <w:qFormat/>
    <w:uiPriority w:val="0"/>
    <w:pPr>
      <w:tabs>
        <w:tab w:val="left" w:pos="1259"/>
      </w:tabs>
      <w:ind w:left="1619" w:hanging="360"/>
    </w:p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66"/>
    <w:link w:val="119"/>
    <w:qFormat/>
    <w:uiPriority w:val="0"/>
    <w:pPr>
      <w:widowControl/>
      <w:spacing w:before="240" w:after="60"/>
      <w:jc w:val="left"/>
      <w:outlineLvl w:val="8"/>
    </w:pPr>
    <w:rPr>
      <w:rFonts w:ascii="Arial" w:hAnsi="Arial" w:eastAsia="MS Mincho"/>
      <w:b/>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Caption Char"/>
    <w:link w:val="22"/>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Comment Subject Char"/>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3"/>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12"/>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6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7"/>
    <w:qFormat/>
    <w:uiPriority w:val="99"/>
    <w:rPr>
      <w:kern w:val="2"/>
      <w:sz w:val="18"/>
      <w:szCs w:val="18"/>
    </w:rPr>
  </w:style>
  <w:style w:type="character" w:customStyle="1" w:styleId="113">
    <w:name w:val="占位符文本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Plain Text Char"/>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6"/>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58"/>
    <w:link w:val="27"/>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6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67"/>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Header Char"/>
    <w:link w:val="38"/>
    <w:qFormat/>
    <w:uiPriority w:val="99"/>
    <w:rPr>
      <w:kern w:val="2"/>
      <w:sz w:val="18"/>
      <w:szCs w:val="18"/>
    </w:rPr>
  </w:style>
  <w:style w:type="character" w:customStyle="1" w:styleId="130">
    <w:name w:val="Doc-text2 Char Char"/>
    <w:basedOn w:val="58"/>
    <w:link w:val="67"/>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20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2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Footnote Text Char"/>
    <w:basedOn w:val="58"/>
    <w:link w:val="44"/>
    <w:qFormat/>
    <w:uiPriority w:val="0"/>
    <w:rPr>
      <w:rFonts w:ascii="宋体"/>
      <w:kern w:val="2"/>
      <w:sz w:val="18"/>
      <w:szCs w:val="18"/>
    </w:rPr>
  </w:style>
  <w:style w:type="paragraph" w:customStyle="1" w:styleId="150">
    <w:name w:val="章标题"/>
    <w:next w:val="43"/>
    <w:qFormat/>
    <w:uiPriority w:val="0"/>
    <w:pPr>
      <w:spacing w:beforeLines="100" w:after="20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3"/>
    <w:qFormat/>
    <w:uiPriority w:val="0"/>
    <w:pPr>
      <w:tabs>
        <w:tab w:val="left" w:pos="0"/>
        <w:tab w:val="left" w:pos="360"/>
      </w:tabs>
      <w:spacing w:beforeLines="50" w:after="20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67"/>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Comment Text Char"/>
    <w:basedOn w:val="58"/>
    <w:link w:val="25"/>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67"/>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Endnote Text Char"/>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link w:val="27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200"/>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TAC"/>
    <w:basedOn w:val="104"/>
    <w:qFormat/>
    <w:uiPriority w:val="0"/>
    <w:pPr>
      <w:jc w:val="center"/>
    </w:pPr>
    <w:rPr>
      <w:szCs w:val="20"/>
      <w:lang w:eastAsia="en-US"/>
    </w:rPr>
  </w:style>
  <w:style w:type="paragraph" w:customStyle="1" w:styleId="201">
    <w:name w:val="示例后文字"/>
    <w:basedOn w:val="43"/>
    <w:next w:val="43"/>
    <w:qFormat/>
    <w:uiPriority w:val="0"/>
    <w:pPr>
      <w:ind w:firstLine="360"/>
    </w:pPr>
    <w:rPr>
      <w:sz w:val="18"/>
    </w:rPr>
  </w:style>
  <w:style w:type="paragraph" w:customStyle="1" w:styleId="202">
    <w:name w:val="图标脚注说明"/>
    <w:basedOn w:val="43"/>
    <w:qFormat/>
    <w:uiPriority w:val="0"/>
    <w:pPr>
      <w:ind w:left="840" w:hanging="420" w:firstLineChars="0"/>
    </w:pPr>
    <w:rPr>
      <w:sz w:val="18"/>
      <w:szCs w:val="18"/>
    </w:rPr>
  </w:style>
  <w:style w:type="paragraph" w:customStyle="1" w:styleId="203">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4">
    <w:name w:val="图表脚注说明"/>
    <w:basedOn w:val="1"/>
    <w:qFormat/>
    <w:uiPriority w:val="0"/>
    <w:pPr>
      <w:tabs>
        <w:tab w:val="left" w:pos="360"/>
      </w:tabs>
      <w:ind w:left="360" w:hanging="360"/>
    </w:pPr>
    <w:rPr>
      <w:rFonts w:ascii="宋体"/>
      <w:sz w:val="18"/>
      <w:szCs w:val="18"/>
    </w:rPr>
  </w:style>
  <w:style w:type="paragraph" w:customStyle="1" w:styleId="205">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6">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7">
    <w:name w:val="正文图标题"/>
    <w:next w:val="43"/>
    <w:qFormat/>
    <w:uiPriority w:val="0"/>
    <w:pPr>
      <w:tabs>
        <w:tab w:val="left" w:pos="1304"/>
      </w:tabs>
      <w:spacing w:beforeLines="50" w:after="200" w:afterLines="50" w:line="259" w:lineRule="auto"/>
      <w:ind w:left="1304" w:hanging="1304"/>
      <w:jc w:val="center"/>
    </w:pPr>
    <w:rPr>
      <w:rFonts w:ascii="黑体" w:hAnsi="Times New Roman" w:eastAsia="黑体" w:cs="Times New Roman"/>
      <w:sz w:val="21"/>
      <w:lang w:val="en-US" w:eastAsia="zh-CN" w:bidi="ar-SA"/>
    </w:rPr>
  </w:style>
  <w:style w:type="paragraph" w:customStyle="1" w:styleId="208">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9">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0">
    <w:name w:val="其他实施日期"/>
    <w:basedOn w:val="164"/>
    <w:qFormat/>
    <w:uiPriority w:val="0"/>
  </w:style>
  <w:style w:type="paragraph" w:customStyle="1" w:styleId="211">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2">
    <w:name w:val="四级无"/>
    <w:basedOn w:val="148"/>
    <w:qFormat/>
    <w:uiPriority w:val="0"/>
    <w:rPr>
      <w:rFonts w:ascii="宋体" w:eastAsia="宋体"/>
    </w:rPr>
  </w:style>
  <w:style w:type="paragraph" w:customStyle="1" w:styleId="213">
    <w:name w:val="示例×："/>
    <w:basedOn w:val="150"/>
    <w:qFormat/>
    <w:uiPriority w:val="0"/>
    <w:pPr>
      <w:spacing w:beforeLines="0" w:afterLines="0"/>
      <w:ind w:firstLine="397"/>
      <w:outlineLvl w:val="9"/>
    </w:pPr>
    <w:rPr>
      <w:rFonts w:ascii="宋体" w:eastAsia="宋体"/>
      <w:sz w:val="18"/>
      <w:szCs w:val="18"/>
    </w:rPr>
  </w:style>
  <w:style w:type="paragraph" w:customStyle="1" w:styleId="214">
    <w:name w:val="EmailDiscussion2"/>
    <w:basedOn w:val="67"/>
    <w:qFormat/>
    <w:uiPriority w:val="0"/>
  </w:style>
  <w:style w:type="paragraph" w:customStyle="1" w:styleId="215">
    <w:name w:val="B5"/>
    <w:basedOn w:val="46"/>
    <w:qFormat/>
    <w:uiPriority w:val="0"/>
  </w:style>
  <w:style w:type="paragraph" w:customStyle="1" w:styleId="216">
    <w:name w:val="其他发布日期"/>
    <w:basedOn w:val="165"/>
    <w:qFormat/>
    <w:uiPriority w:val="0"/>
  </w:style>
  <w:style w:type="paragraph" w:customStyle="1" w:styleId="217">
    <w:name w:val="B4"/>
    <w:basedOn w:val="47"/>
    <w:link w:val="274"/>
    <w:qFormat/>
    <w:uiPriority w:val="0"/>
  </w:style>
  <w:style w:type="paragraph" w:customStyle="1" w:styleId="218">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9">
    <w:name w:val="Review-comment2"/>
    <w:basedOn w:val="159"/>
    <w:qFormat/>
    <w:uiPriority w:val="0"/>
    <w:rPr>
      <w:color w:val="0070C0"/>
    </w:rPr>
  </w:style>
  <w:style w:type="paragraph" w:customStyle="1" w:styleId="220">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1">
    <w:name w:val="附录表标号"/>
    <w:basedOn w:val="1"/>
    <w:next w:val="43"/>
    <w:qFormat/>
    <w:uiPriority w:val="0"/>
    <w:pPr>
      <w:spacing w:line="14" w:lineRule="exact"/>
      <w:ind w:left="811" w:hanging="448"/>
      <w:jc w:val="center"/>
      <w:outlineLvl w:val="0"/>
    </w:pPr>
    <w:rPr>
      <w:color w:val="FFFFFF"/>
    </w:rPr>
  </w:style>
  <w:style w:type="paragraph" w:customStyle="1" w:styleId="222">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3">
    <w:name w:val="附录标题"/>
    <w:basedOn w:val="43"/>
    <w:next w:val="43"/>
    <w:qFormat/>
    <w:uiPriority w:val="0"/>
    <w:pPr>
      <w:ind w:firstLine="0" w:firstLineChars="0"/>
      <w:jc w:val="center"/>
    </w:pPr>
    <w:rPr>
      <w:rFonts w:ascii="黑体" w:eastAsia="黑体"/>
    </w:rPr>
  </w:style>
  <w:style w:type="paragraph" w:customStyle="1" w:styleId="224">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8"/>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8"/>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8"/>
    <w:qFormat/>
    <w:uiPriority w:val="0"/>
    <w:pPr>
      <w:keepNext/>
      <w:spacing w:after="0"/>
    </w:pPr>
    <w:rPr>
      <w:rFonts w:ascii="Arial" w:hAnsi="Arial"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5"/>
    <w:qFormat/>
    <w:uiPriority w:val="0"/>
    <w:pPr>
      <w:numPr>
        <w:ilvl w:val="0"/>
        <w:numId w:val="2"/>
      </w:numPr>
      <w:ind w:left="1701" w:hanging="1701"/>
    </w:pPr>
    <w:rPr>
      <w:rFonts w:eastAsiaTheme="minorEastAsia"/>
    </w:rPr>
  </w:style>
  <w:style w:type="character" w:customStyle="1" w:styleId="272">
    <w:name w:val="列出段落 Char"/>
    <w:link w:val="69"/>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7"/>
    <w:qFormat/>
    <w:uiPriority w:val="0"/>
    <w:rPr>
      <w:rFonts w:eastAsia="MS Mincho"/>
      <w:lang w:val="en-GB" w:eastAsia="en-US"/>
    </w:rPr>
  </w:style>
  <w:style w:type="paragraph" w:customStyle="1" w:styleId="275">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apple-converted-space"/>
    <w:basedOn w:val="58"/>
    <w:qFormat/>
    <w:uiPriority w:val="0"/>
  </w:style>
  <w:style w:type="character" w:customStyle="1" w:styleId="278">
    <w:name w:val="TF Char"/>
    <w:link w:val="197"/>
    <w:qFormat/>
    <w:uiPriority w:val="0"/>
    <w:rPr>
      <w:rFonts w:ascii="Arial" w:hAnsi="Arial" w:eastAsia="MS Mincho"/>
      <w:b/>
      <w:lang w:val="en-GB" w:eastAsia="en-US"/>
    </w:rPr>
  </w:style>
  <w:style w:type="character" w:customStyle="1" w:styleId="279">
    <w:name w:val="Guidance Char"/>
    <w:link w:val="275"/>
    <w:qFormat/>
    <w:uiPriority w:val="0"/>
    <w:rPr>
      <w:i/>
      <w:color w:val="0000FF"/>
      <w:lang w:val="en-GB" w:eastAsia="en-US"/>
    </w:rPr>
  </w:style>
  <w:style w:type="paragraph" w:customStyle="1" w:styleId="280">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281">
    <w:name w:val="标题 41"/>
    <w:basedOn w:val="1"/>
    <w:next w:val="280"/>
    <w:qFormat/>
    <w:uiPriority w:val="0"/>
    <w:pPr>
      <w:keepNext/>
      <w:keepLines/>
      <w:overflowPunct w:val="0"/>
      <w:autoSpaceDE w:val="0"/>
      <w:autoSpaceDN w:val="0"/>
      <w:adjustRightInd w:val="0"/>
      <w:spacing w:before="120" w:after="180"/>
      <w:ind w:left="1418" w:hanging="1418"/>
      <w:jc w:val="left"/>
      <w:textAlignment w:val="baseline"/>
      <w:outlineLvl w:val="3"/>
    </w:pPr>
    <w:rPr>
      <w:rFonts w:ascii="Arial" w:hAnsi="Arial" w:eastAsia="宋体" w:cs="Arial"/>
      <w:kern w:val="0"/>
      <w:sz w:val="24"/>
    </w:rPr>
  </w:style>
  <w:style w:type="paragraph" w:customStyle="1" w:styleId="282">
    <w:name w:val="标题 51"/>
    <w:basedOn w:val="281"/>
    <w:next w:val="280"/>
    <w:qFormat/>
    <w:uiPriority w:val="0"/>
    <w:pPr>
      <w:ind w:left="1701" w:hanging="1701"/>
      <w:outlineLvl w:val="4"/>
    </w:pPr>
    <w:rPr>
      <w:sz w:val="22"/>
      <w:szCs w:val="22"/>
    </w:rPr>
  </w:style>
  <w:style w:type="paragraph" w:customStyle="1" w:styleId="283">
    <w:name w:val="CR Cover Page"/>
    <w:qFormat/>
    <w:uiPriority w:val="0"/>
    <w:pPr>
      <w:spacing w:after="120"/>
    </w:pPr>
    <w:rPr>
      <w:rFonts w:ascii="Arial" w:hAnsi="Arial" w:eastAsia="MS Mincho" w:cs="Times New Roman"/>
      <w:lang w:val="en-GB" w:eastAsia="en-US" w:bidi="ar-SA"/>
    </w:rPr>
  </w:style>
  <w:style w:type="paragraph" w:styleId="28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B56899-94FA-420A-B6BE-24143A862DCF}">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4</Pages>
  <Words>1153</Words>
  <Characters>6577</Characters>
  <Lines>54</Lines>
  <Paragraphs>15</Paragraphs>
  <TotalTime>1</TotalTime>
  <ScaleCrop>false</ScaleCrop>
  <LinksUpToDate>false</LinksUpToDate>
  <CharactersWithSpaces>7715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2020-02-14T00:13:00Z</dcterms:created>
  <dc:creator>10033860</dc:creator>
  <cp:lastModifiedBy>ZMJ</cp:lastModifiedBy>
  <cp:lastPrinted>2113-01-01T00:00:00Z</cp:lastPrinted>
  <dcterms:modified xsi:type="dcterms:W3CDTF">2023-02-17T08:09:25Z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